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D0D0D" w:themeColor="text1" w:themeTint="F2"/>
          <w:sz w:val="36"/>
          <w:szCs w:val="30"/>
          <w14:textFill>
            <w14:solidFill>
              <w14:schemeClr w14:val="tx1">
                <w14:lumMod w14:val="95000"/>
                <w14:lumOff w14:val="5000"/>
              </w14:schemeClr>
            </w14:solidFill>
          </w14:textFill>
        </w:rPr>
      </w:pPr>
      <w:r>
        <w:rPr>
          <w:rFonts w:eastAsia="仿宋"/>
          <w:b/>
          <w:color w:val="0D0D0D" w:themeColor="text1" w:themeTint="F2"/>
          <w:sz w:val="32"/>
          <w:szCs w:val="30"/>
          <w14:textFill>
            <w14:solidFill>
              <w14:schemeClr w14:val="tx1">
                <w14:lumMod w14:val="95000"/>
                <w14:lumOff w14:val="5000"/>
              </w14:schemeClr>
            </w14:solidFill>
          </w14:textFill>
        </w:rPr>
        <w:t>附件</w:t>
      </w:r>
      <w:r>
        <w:rPr>
          <w:rFonts w:eastAsia="仿宋"/>
          <w:color w:val="0D0D0D" w:themeColor="text1" w:themeTint="F2"/>
          <w:sz w:val="36"/>
          <w:szCs w:val="30"/>
          <w14:textFill>
            <w14:solidFill>
              <w14:schemeClr w14:val="tx1">
                <w14:lumMod w14:val="95000"/>
                <w14:lumOff w14:val="5000"/>
              </w14:schemeClr>
            </w14:solidFill>
          </w14:textFill>
        </w:rPr>
        <w:t xml:space="preserve">            </w:t>
      </w:r>
    </w:p>
    <w:p>
      <w:pPr>
        <w:adjustRightInd w:val="0"/>
        <w:snapToGrid w:val="0"/>
        <w:spacing w:after="156" w:afterLines="50" w:line="500" w:lineRule="exact"/>
        <w:jc w:val="center"/>
        <w:rPr>
          <w:rFonts w:eastAsia="黑体"/>
          <w:b/>
          <w:color w:val="0D0D0D" w:themeColor="text1" w:themeTint="F2"/>
          <w:sz w:val="36"/>
          <w:szCs w:val="30"/>
          <w14:textFill>
            <w14:solidFill>
              <w14:schemeClr w14:val="tx1">
                <w14:lumMod w14:val="95000"/>
                <w14:lumOff w14:val="5000"/>
              </w14:schemeClr>
            </w14:solidFill>
          </w14:textFill>
        </w:rPr>
      </w:pPr>
      <w:bookmarkStart w:id="3" w:name="_GoBack"/>
      <w:r>
        <w:rPr>
          <w:rFonts w:eastAsia="黑体"/>
          <w:b/>
          <w:color w:val="0D0D0D" w:themeColor="text1" w:themeTint="F2"/>
          <w:sz w:val="36"/>
          <w:szCs w:val="30"/>
          <w14:textFill>
            <w14:solidFill>
              <w14:schemeClr w14:val="tx1">
                <w14:lumMod w14:val="95000"/>
                <w14:lumOff w14:val="5000"/>
              </w14:schemeClr>
            </w14:solidFill>
          </w14:textFill>
        </w:rPr>
        <w:t>高等学校实验室安全检查项目表（2022）</w:t>
      </w:r>
    </w:p>
    <w:bookmarkEnd w:id="3"/>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blHeader/>
          <w:jc w:val="center"/>
        </w:trPr>
        <w:tc>
          <w:tcPr>
            <w:tcW w:w="848" w:type="dxa"/>
            <w:tcMar>
              <w:left w:w="45" w:type="dxa"/>
              <w:right w:w="45" w:type="dxa"/>
            </w:tcMar>
            <w:vAlign w:val="center"/>
          </w:tcPr>
          <w:p>
            <w:pPr>
              <w:spacing w:line="300" w:lineRule="exact"/>
              <w:rPr>
                <w:rFonts w:ascii="黑体" w:hAnsi="黑体" w:eastAsia="黑体"/>
                <w:b/>
                <w:bCs/>
                <w:color w:val="0D0D0D" w:themeColor="text1" w:themeTint="F2"/>
                <w:kern w:val="0"/>
                <w:szCs w:val="21"/>
                <w14:textFill>
                  <w14:solidFill>
                    <w14:schemeClr w14:val="tx1">
                      <w14:lumMod w14:val="95000"/>
                      <w14:lumOff w14:val="5000"/>
                    </w14:schemeClr>
                  </w14:solidFill>
                </w14:textFill>
              </w:rPr>
            </w:pPr>
            <w:r>
              <w:rPr>
                <w:rFonts w:ascii="黑体" w:hAnsi="黑体" w:eastAsia="黑体"/>
                <w:b/>
                <w:bCs/>
                <w:color w:val="0D0D0D" w:themeColor="text1" w:themeTint="F2"/>
                <w:kern w:val="0"/>
                <w:szCs w:val="21"/>
                <w14:textFill>
                  <w14:solidFill>
                    <w14:schemeClr w14:val="tx1">
                      <w14:lumMod w14:val="95000"/>
                      <w14:lumOff w14:val="5000"/>
                    </w14:schemeClr>
                  </w14:solidFill>
                </w14:textFill>
              </w:rPr>
              <w:t>序号</w:t>
            </w:r>
          </w:p>
        </w:tc>
        <w:tc>
          <w:tcPr>
            <w:tcW w:w="3820" w:type="dxa"/>
            <w:tcMar>
              <w:left w:w="45" w:type="dxa"/>
              <w:right w:w="45" w:type="dxa"/>
            </w:tcMar>
            <w:vAlign w:val="center"/>
          </w:tcPr>
          <w:p>
            <w:pPr>
              <w:spacing w:line="300" w:lineRule="exact"/>
              <w:rPr>
                <w:rFonts w:ascii="黑体" w:hAnsi="黑体" w:eastAsia="黑体"/>
                <w:b/>
                <w:bCs/>
                <w:color w:val="0D0D0D" w:themeColor="text1" w:themeTint="F2"/>
                <w:kern w:val="0"/>
                <w:szCs w:val="21"/>
                <w14:textFill>
                  <w14:solidFill>
                    <w14:schemeClr w14:val="tx1">
                      <w14:lumMod w14:val="95000"/>
                      <w14:lumOff w14:val="5000"/>
                    </w14:schemeClr>
                  </w14:solidFill>
                </w14:textFill>
              </w:rPr>
            </w:pPr>
            <w:r>
              <w:rPr>
                <w:rFonts w:ascii="黑体" w:hAnsi="黑体" w:eastAsia="黑体"/>
                <w:b/>
                <w:bCs/>
                <w:color w:val="0D0D0D" w:themeColor="text1" w:themeTint="F2"/>
                <w:kern w:val="0"/>
                <w:szCs w:val="21"/>
                <w14:textFill>
                  <w14:solidFill>
                    <w14:schemeClr w14:val="tx1">
                      <w14:lumMod w14:val="95000"/>
                      <w14:lumOff w14:val="5000"/>
                    </w14:schemeClr>
                  </w14:solidFill>
                </w14:textFill>
              </w:rPr>
              <w:t>检查项目</w:t>
            </w:r>
          </w:p>
        </w:tc>
        <w:tc>
          <w:tcPr>
            <w:tcW w:w="7660" w:type="dxa"/>
            <w:tcMar>
              <w:left w:w="45" w:type="dxa"/>
              <w:right w:w="45" w:type="dxa"/>
            </w:tcMar>
            <w:vAlign w:val="center"/>
          </w:tcPr>
          <w:p>
            <w:pPr>
              <w:spacing w:line="300" w:lineRule="exact"/>
              <w:rPr>
                <w:rFonts w:ascii="黑体" w:hAnsi="黑体" w:eastAsia="黑体"/>
                <w:b/>
                <w:bCs/>
                <w:color w:val="0D0D0D" w:themeColor="text1" w:themeTint="F2"/>
                <w:kern w:val="0"/>
                <w:szCs w:val="21"/>
                <w14:textFill>
                  <w14:solidFill>
                    <w14:schemeClr w14:val="tx1">
                      <w14:lumMod w14:val="95000"/>
                      <w14:lumOff w14:val="5000"/>
                    </w14:schemeClr>
                  </w14:solidFill>
                </w14:textFill>
              </w:rPr>
            </w:pPr>
            <w:r>
              <w:rPr>
                <w:rFonts w:ascii="黑体" w:hAnsi="黑体" w:eastAsia="黑体"/>
                <w:b/>
                <w:bCs/>
                <w:color w:val="0D0D0D" w:themeColor="text1" w:themeTint="F2"/>
                <w:kern w:val="0"/>
                <w:szCs w:val="21"/>
                <w14:textFill>
                  <w14:solidFill>
                    <w14:schemeClr w14:val="tx1">
                      <w14:lumMod w14:val="95000"/>
                      <w14:lumOff w14:val="5000"/>
                    </w14:schemeClr>
                  </w14:solidFill>
                </w14:textFill>
              </w:rPr>
              <w:t>检查要点</w:t>
            </w:r>
          </w:p>
        </w:tc>
        <w:tc>
          <w:tcPr>
            <w:tcW w:w="2543" w:type="dxa"/>
            <w:tcMar>
              <w:left w:w="45" w:type="dxa"/>
              <w:right w:w="45" w:type="dxa"/>
            </w:tcMar>
            <w:vAlign w:val="center"/>
          </w:tcPr>
          <w:p>
            <w:pPr>
              <w:spacing w:line="300" w:lineRule="exact"/>
              <w:rPr>
                <w:rFonts w:ascii="黑体" w:hAnsi="黑体" w:eastAsia="黑体"/>
                <w:b/>
                <w:bCs/>
                <w:color w:val="0D0D0D" w:themeColor="text1" w:themeTint="F2"/>
                <w:kern w:val="0"/>
                <w:szCs w:val="21"/>
                <w14:textFill>
                  <w14:solidFill>
                    <w14:schemeClr w14:val="tx1">
                      <w14:lumMod w14:val="95000"/>
                      <w14:lumOff w14:val="5000"/>
                    </w14:schemeClr>
                  </w14:solidFill>
                </w14:textFill>
              </w:rPr>
            </w:pPr>
            <w:r>
              <w:rPr>
                <w:rFonts w:ascii="黑体" w:hAnsi="黑体" w:eastAsia="黑体"/>
                <w:b/>
                <w:bCs/>
                <w:color w:val="0D0D0D" w:themeColor="text1" w:themeTint="F2"/>
                <w:kern w:val="0"/>
                <w:szCs w:val="21"/>
                <w14:textFill>
                  <w14:solidFill>
                    <w14:schemeClr w14:val="tx1">
                      <w14:lumMod w14:val="95000"/>
                      <w14:lumOff w14:val="5000"/>
                    </w14:schemeClr>
                  </w14:solidFill>
                </w14:textFill>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1.1</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1.1.1</w:t>
            </w:r>
          </w:p>
        </w:tc>
        <w:tc>
          <w:tcPr>
            <w:tcW w:w="3820"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有校级实验室安全工作</w:t>
            </w:r>
            <w:r>
              <w:rPr>
                <w:rFonts w:hint="eastAsia" w:eastAsia="仿宋"/>
                <w:color w:val="0D0D0D" w:themeColor="text1" w:themeTint="F2"/>
                <w:kern w:val="0"/>
                <w:szCs w:val="21"/>
                <w14:textFill>
                  <w14:solidFill>
                    <w14:schemeClr w14:val="tx1">
                      <w14:lumMod w14:val="95000"/>
                      <w14:lumOff w14:val="5000"/>
                    </w14:schemeClr>
                  </w14:solidFill>
                </w14:textFill>
              </w:rPr>
              <w:t>责任人与</w:t>
            </w:r>
            <w:r>
              <w:rPr>
                <w:rFonts w:eastAsia="仿宋"/>
                <w:color w:val="0D0D0D" w:themeColor="text1" w:themeTint="F2"/>
                <w:kern w:val="0"/>
                <w:szCs w:val="21"/>
                <w14:textFill>
                  <w14:solidFill>
                    <w14:schemeClr w14:val="tx1">
                      <w14:lumMod w14:val="95000"/>
                      <w14:lumOff w14:val="5000"/>
                    </w14:schemeClr>
                  </w14:solidFill>
                </w14:textFill>
              </w:rPr>
              <w:t>领导机构</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（1）有校级</w:t>
            </w:r>
            <w:r>
              <w:rPr>
                <w:rFonts w:hint="eastAsia" w:eastAsia="仿宋"/>
                <w:color w:val="0D0D0D" w:themeColor="text1" w:themeTint="F2"/>
                <w:kern w:val="0"/>
                <w:szCs w:val="21"/>
                <w14:textFill>
                  <w14:solidFill>
                    <w14:schemeClr w14:val="tx1">
                      <w14:lumMod w14:val="95000"/>
                      <w14:lumOff w14:val="5000"/>
                    </w14:schemeClr>
                  </w14:solidFill>
                </w14:textFill>
              </w:rPr>
              <w:t>正式发文</w:t>
            </w:r>
            <w:r>
              <w:rPr>
                <w:rFonts w:eastAsia="仿宋"/>
                <w:color w:val="0D0D0D" w:themeColor="text1" w:themeTint="F2"/>
                <w:kern w:val="0"/>
                <w:szCs w:val="21"/>
                <w14:textFill>
                  <w14:solidFill>
                    <w14:schemeClr w14:val="tx1">
                      <w14:lumMod w14:val="95000"/>
                      <w14:lumOff w14:val="5000"/>
                    </w14:schemeClr>
                  </w14:solidFill>
                </w14:textFill>
              </w:rPr>
              <w:t>，明确</w:t>
            </w:r>
            <w:r>
              <w:rPr>
                <w:rFonts w:hint="eastAsia" w:eastAsia="仿宋"/>
                <w:color w:val="0D0D0D" w:themeColor="text1" w:themeTint="F2"/>
                <w:kern w:val="0"/>
                <w:szCs w:val="21"/>
                <w14:textFill>
                  <w14:solidFill>
                    <w14:schemeClr w14:val="tx1">
                      <w14:lumMod w14:val="95000"/>
                      <w14:lumOff w14:val="5000"/>
                    </w14:schemeClr>
                  </w14:solidFill>
                </w14:textFill>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1.1.2</w:t>
            </w:r>
          </w:p>
        </w:tc>
        <w:tc>
          <w:tcPr>
            <w:tcW w:w="3820"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有明确的实验室安全管理职能部门</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（2）明确牵头职能部门负责实验室安全工作，相关职能部门切实配合落实工作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学校与院系签订实验室安全管理责任书/告知书</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（3）档案或信息系统里有现任学校领导与院系</w:t>
            </w:r>
            <w:r>
              <w:rPr>
                <w:rFonts w:hint="eastAsia" w:eastAsia="仿宋"/>
                <w:color w:val="0D0D0D" w:themeColor="text1" w:themeTint="F2"/>
                <w:kern w:val="0"/>
                <w:szCs w:val="21"/>
                <w14:textFill>
                  <w14:solidFill>
                    <w14:schemeClr w14:val="tx1">
                      <w14:lumMod w14:val="95000"/>
                      <w14:lumOff w14:val="5000"/>
                    </w14:schemeClr>
                  </w14:solidFill>
                </w14:textFill>
              </w:rPr>
              <w:t>负责人</w:t>
            </w:r>
            <w:r>
              <w:rPr>
                <w:rFonts w:eastAsia="仿宋"/>
                <w:color w:val="0D0D0D" w:themeColor="text1" w:themeTint="F2"/>
                <w:kern w:val="0"/>
                <w:szCs w:val="21"/>
                <w14:textFill>
                  <w14:solidFill>
                    <w14:schemeClr w14:val="tx1">
                      <w14:lumMod w14:val="95000"/>
                      <w14:lumOff w14:val="5000"/>
                    </w14:schemeClr>
                  </w14:solidFill>
                </w14:textFill>
              </w:rPr>
              <w:t>签字盖章的安全责任书/告知书</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1.1.4</w:t>
            </w:r>
          </w:p>
        </w:tc>
        <w:tc>
          <w:tcPr>
            <w:tcW w:w="3820" w:type="dxa"/>
            <w:tcMar>
              <w:left w:w="45" w:type="dxa"/>
              <w:right w:w="45" w:type="dxa"/>
            </w:tcMar>
            <w:vAlign w:val="center"/>
          </w:tcPr>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实验室安全工作纳入学校决策研究事项</w:t>
            </w:r>
          </w:p>
        </w:tc>
        <w:tc>
          <w:tcPr>
            <w:tcW w:w="7660" w:type="dxa"/>
            <w:tcMar>
              <w:left w:w="45" w:type="dxa"/>
              <w:right w:w="45" w:type="dxa"/>
            </w:tcMar>
            <w:vAlign w:val="center"/>
          </w:tcPr>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（4）有学校相关会议（校务会议、党委常委会等）纪要</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1.2</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二级单位党政负责人作为实验室安全工作主要领导责任人</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（5）有带文号的院系文件</w:t>
            </w:r>
            <w:r>
              <w:rPr>
                <w:rFonts w:hint="eastAsia" w:eastAsia="仿宋"/>
                <w:bCs/>
                <w:color w:val="0D0D0D" w:themeColor="text1" w:themeTint="F2"/>
                <w:kern w:val="0"/>
                <w:szCs w:val="21"/>
                <w14:textFill>
                  <w14:solidFill>
                    <w14:schemeClr w14:val="tx1">
                      <w14:lumMod w14:val="95000"/>
                      <w14:lumOff w14:val="5000"/>
                    </w14:schemeClr>
                  </w14:solidFill>
                </w14:textFill>
              </w:rPr>
              <w:t>如</w:t>
            </w:r>
            <w:r>
              <w:rPr>
                <w:rFonts w:eastAsia="仿宋"/>
                <w:bCs/>
                <w:color w:val="0D0D0D" w:themeColor="text1" w:themeTint="F2"/>
                <w:kern w:val="0"/>
                <w:szCs w:val="21"/>
                <w14:textFill>
                  <w14:solidFill>
                    <w14:schemeClr w14:val="tx1">
                      <w14:lumMod w14:val="95000"/>
                      <w14:lumOff w14:val="5000"/>
                    </w14:schemeClr>
                  </w14:solidFill>
                </w14:textFill>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成立院系级实验室安全工作领导小组</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（6）有</w:t>
            </w:r>
            <w:r>
              <w:rPr>
                <w:rFonts w:eastAsia="仿宋"/>
                <w:bCs/>
                <w:color w:val="0D0D0D" w:themeColor="text1" w:themeTint="F2"/>
                <w:kern w:val="0"/>
                <w:szCs w:val="21"/>
                <w14:textFill>
                  <w14:solidFill>
                    <w14:schemeClr w14:val="tx1">
                      <w14:lumMod w14:val="95000"/>
                      <w14:lumOff w14:val="5000"/>
                    </w14:schemeClr>
                  </w14:solidFill>
                </w14:textFill>
              </w:rPr>
              <w:t>带文号的院系</w:t>
            </w:r>
            <w:r>
              <w:rPr>
                <w:rFonts w:eastAsia="仿宋"/>
                <w:color w:val="0D0D0D" w:themeColor="text1" w:themeTint="F2"/>
                <w:kern w:val="0"/>
                <w:szCs w:val="21"/>
                <w14:textFill>
                  <w14:solidFill>
                    <w14:schemeClr w14:val="tx1">
                      <w14:lumMod w14:val="95000"/>
                      <w14:lumOff w14:val="5000"/>
                    </w14:schemeClr>
                  </w14:solidFill>
                </w14:textFill>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建立院系实验室安全责任体系</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（7）有文件资料或网络档案证明实验室（研究所、中心、教研室及具体实验室等）有安全责任人与安全员</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1.2.4</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有实验室安全责任书</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（8）签订责任书到实验房间安全责任人，及每一位使用实验室的教职员工</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r>
              <w:rPr>
                <w:rFonts w:eastAsia="仿宋"/>
                <w:b/>
                <w:bCs/>
                <w:color w:val="0D0D0D" w:themeColor="text1" w:themeTint="F2"/>
                <w:kern w:val="0"/>
                <w:szCs w:val="21"/>
                <w14:textFill>
                  <w14:solidFill>
                    <w14:schemeClr w14:val="tx1">
                      <w14:lumMod w14:val="95000"/>
                      <w14:lumOff w14:val="5000"/>
                    </w14:schemeClr>
                  </w14:solidFill>
                </w14:textFill>
              </w:rPr>
              <w:t>1.3</w:t>
            </w:r>
          </w:p>
        </w:tc>
        <w:tc>
          <w:tcPr>
            <w:tcW w:w="14023" w:type="dxa"/>
            <w:gridSpan w:val="3"/>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r>
              <w:rPr>
                <w:rFonts w:eastAsia="仿宋"/>
                <w:b/>
                <w:bCs/>
                <w:color w:val="0D0D0D" w:themeColor="text1" w:themeTint="F2"/>
                <w:kern w:val="0"/>
                <w:szCs w:val="21"/>
                <w14:textFill>
                  <w14:solidFill>
                    <w14:schemeClr w14:val="tx1">
                      <w14:lumMod w14:val="95000"/>
                      <w14:lumOff w14:val="5000"/>
                    </w14:schemeClr>
                  </w14:solidFill>
                </w14:textFill>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1.3.1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学校每年有实验室安全常规经费预算</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（9）学校职能部门有预算审批凭据证明有专款用于实验室安全工作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1.3.2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（10）学校职能部门有支出凭据证明有专款用于实验室安全工作，尤其是用于重大安全隐患整改项目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1.3.3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院系有自筹经费投入实验室安全建设与管理</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（11）院系有支出凭据证明有专款用于实验室安全工作</w:t>
            </w:r>
          </w:p>
        </w:tc>
        <w:tc>
          <w:tcPr>
            <w:tcW w:w="2543"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r>
              <w:rPr>
                <w:rFonts w:eastAsia="仿宋"/>
                <w:b/>
                <w:bCs/>
                <w:color w:val="0D0D0D" w:themeColor="text1" w:themeTint="F2"/>
                <w:kern w:val="0"/>
                <w:szCs w:val="21"/>
                <w14:textFill>
                  <w14:solidFill>
                    <w14:schemeClr w14:val="tx1">
                      <w14:lumMod w14:val="95000"/>
                      <w14:lumOff w14:val="5000"/>
                    </w14:schemeClr>
                  </w14:solidFill>
                </w14:textFill>
              </w:rPr>
              <w:t>1.4</w:t>
            </w:r>
          </w:p>
        </w:tc>
        <w:tc>
          <w:tcPr>
            <w:tcW w:w="14023" w:type="dxa"/>
            <w:gridSpan w:val="3"/>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r>
              <w:rPr>
                <w:rFonts w:eastAsia="仿宋"/>
                <w:b/>
                <w:bCs/>
                <w:color w:val="0D0D0D" w:themeColor="text1" w:themeTint="F2"/>
                <w:kern w:val="0"/>
                <w:szCs w:val="21"/>
                <w14:textFill>
                  <w14:solidFill>
                    <w14:schemeClr w14:val="tx1">
                      <w14:lumMod w14:val="95000"/>
                      <w14:lumOff w14:val="5000"/>
                    </w14:schemeClr>
                  </w14:solidFill>
                </w14:textFill>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1.4.1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学校根据需要配备专职或兼职的实验室安全管理人员</w:t>
            </w:r>
          </w:p>
        </w:tc>
        <w:tc>
          <w:tcPr>
            <w:tcW w:w="7660"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（12）有重</w:t>
            </w:r>
            <w:r>
              <w:rPr>
                <w:rFonts w:hint="eastAsia" w:eastAsia="仿宋"/>
                <w:color w:val="0D0D0D" w:themeColor="text1" w:themeTint="F2"/>
                <w:kern w:val="0"/>
                <w:szCs w:val="21"/>
                <w14:textFill>
                  <w14:solidFill>
                    <w14:schemeClr w14:val="tx1">
                      <w14:lumMod w14:val="95000"/>
                      <w14:lumOff w14:val="5000"/>
                    </w14:schemeClr>
                  </w14:solidFill>
                </w14:textFill>
              </w:rPr>
              <w:t>要</w:t>
            </w:r>
            <w:r>
              <w:rPr>
                <w:rFonts w:eastAsia="仿宋"/>
                <w:color w:val="0D0D0D" w:themeColor="text1" w:themeTint="F2"/>
                <w:kern w:val="0"/>
                <w:szCs w:val="21"/>
                <w14:textFill>
                  <w14:solidFill>
                    <w14:schemeClr w14:val="tx1">
                      <w14:lumMod w14:val="95000"/>
                      <w14:lumOff w14:val="5000"/>
                    </w14:schemeClr>
                  </w14:solidFill>
                </w14:textFill>
              </w:rPr>
              <w:t>危险源，即</w:t>
            </w:r>
            <w:r>
              <w:rPr>
                <w:rFonts w:eastAsia="仿宋"/>
                <w:color w:val="0D0D0D" w:themeColor="text1" w:themeTint="F2"/>
                <w:szCs w:val="21"/>
                <w14:textFill>
                  <w14:solidFill>
                    <w14:schemeClr w14:val="tx1">
                      <w14:lumMod w14:val="95000"/>
                      <w14:lumOff w14:val="5000"/>
                    </w14:schemeClr>
                  </w14:solidFill>
                </w14:textFill>
              </w:rPr>
              <w:t>有毒有害（剧毒、易制爆、易制毒、爆炸品等）化学品、危险（易燃、易爆、有毒、窒息）气体、动物及病原微生物、辐射源及射线装置、同位素及核材料、危险性机械加工装置、强电强磁与激光设备、特种设备等</w:t>
            </w:r>
            <w:r>
              <w:rPr>
                <w:rFonts w:hint="eastAsia" w:eastAsia="仿宋"/>
                <w:color w:val="0D0D0D" w:themeColor="text1" w:themeTint="F2"/>
                <w:kern w:val="0"/>
                <w:szCs w:val="21"/>
                <w14:textFill>
                  <w14:solidFill>
                    <w14:schemeClr w14:val="tx1">
                      <w14:lumMod w14:val="95000"/>
                      <w14:lumOff w14:val="5000"/>
                    </w14:schemeClr>
                  </w14:solidFill>
                </w14:textFill>
              </w:rPr>
              <w:t>的</w:t>
            </w:r>
            <w:r>
              <w:rPr>
                <w:rFonts w:eastAsia="仿宋"/>
                <w:color w:val="0D0D0D" w:themeColor="text1" w:themeTint="F2"/>
                <w:kern w:val="0"/>
                <w:szCs w:val="21"/>
                <w14:textFill>
                  <w14:solidFill>
                    <w14:schemeClr w14:val="tx1">
                      <w14:lumMod w14:val="95000"/>
                      <w14:lumOff w14:val="5000"/>
                    </w14:schemeClr>
                  </w14:solidFill>
                </w14:textFill>
              </w:rPr>
              <w:t>高校应依据工作量，在校级管理机构配备</w:t>
            </w:r>
            <w:r>
              <w:rPr>
                <w:rFonts w:hint="eastAsia" w:eastAsia="仿宋"/>
                <w:color w:val="0D0D0D" w:themeColor="text1" w:themeTint="F2"/>
                <w:kern w:val="0"/>
                <w:szCs w:val="21"/>
                <w14:textFill>
                  <w14:solidFill>
                    <w14:schemeClr w14:val="tx1">
                      <w14:lumMod w14:val="95000"/>
                      <w14:lumOff w14:val="5000"/>
                    </w14:schemeClr>
                  </w14:solidFill>
                </w14:textFill>
              </w:rPr>
              <w:t>足够</w:t>
            </w:r>
            <w:r>
              <w:rPr>
                <w:rFonts w:eastAsia="仿宋"/>
                <w:color w:val="0D0D0D" w:themeColor="text1" w:themeTint="F2"/>
                <w:kern w:val="0"/>
                <w:szCs w:val="21"/>
                <w14:textFill>
                  <w14:solidFill>
                    <w14:schemeClr w14:val="tx1">
                      <w14:lumMod w14:val="95000"/>
                      <w14:lumOff w14:val="5000"/>
                    </w14:schemeClr>
                  </w14:solidFill>
                </w14:textFill>
              </w:rPr>
              <w:t>的专职实验室安全管理人员</w:t>
            </w:r>
            <w:r>
              <w:rPr>
                <w:rFonts w:hint="eastAsia" w:eastAsia="仿宋"/>
                <w:color w:val="0D0D0D" w:themeColor="text1" w:themeTint="F2"/>
                <w:kern w:val="0"/>
                <w:szCs w:val="21"/>
                <w14:textFill>
                  <w14:solidFill>
                    <w14:schemeClr w14:val="tx1">
                      <w14:lumMod w14:val="95000"/>
                      <w14:lumOff w14:val="5000"/>
                    </w14:schemeClr>
                  </w14:solidFill>
                </w14:textFill>
              </w:rPr>
              <w:t>；</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（13）</w:t>
            </w:r>
            <w:r>
              <w:rPr>
                <w:rFonts w:hint="eastAsia" w:eastAsia="仿宋"/>
                <w:color w:val="0D0D0D" w:themeColor="text1" w:themeTint="F2"/>
                <w:kern w:val="0"/>
                <w:szCs w:val="21"/>
                <w14:textFill>
                  <w14:solidFill>
                    <w14:schemeClr w14:val="tx1">
                      <w14:lumMod w14:val="95000"/>
                      <w14:lumOff w14:val="5000"/>
                    </w14:schemeClr>
                  </w14:solidFill>
                </w14:textFill>
              </w:rPr>
              <w:t>有重要危险源的院系应依据工作量配备专职实验室安全管理人员</w:t>
            </w:r>
            <w:r>
              <w:rPr>
                <w:rFonts w:eastAsia="仿宋"/>
                <w:color w:val="0D0D0D" w:themeColor="text1" w:themeTint="F2"/>
                <w:kern w:val="0"/>
                <w:szCs w:val="21"/>
                <w14:textFill>
                  <w14:solidFill>
                    <w14:schemeClr w14:val="tx1">
                      <w14:lumMod w14:val="95000"/>
                      <w14:lumOff w14:val="5000"/>
                    </w14:schemeClr>
                  </w14:solidFill>
                </w14:textFill>
              </w:rPr>
              <w:t>；文、管、艺术类、数学及信息相关工学等院系配备兼职实验室安全管理人员</w:t>
            </w:r>
          </w:p>
        </w:tc>
        <w:tc>
          <w:tcPr>
            <w:tcW w:w="2543"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1.4.2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（14）有</w:t>
            </w:r>
            <w:r>
              <w:rPr>
                <w:rFonts w:hint="eastAsia" w:eastAsia="仿宋"/>
                <w:bCs/>
                <w:color w:val="0D0D0D" w:themeColor="text1" w:themeTint="F2"/>
                <w:kern w:val="0"/>
                <w:szCs w:val="21"/>
                <w14:textFill>
                  <w14:solidFill>
                    <w14:schemeClr w14:val="tx1">
                      <w14:lumMod w14:val="95000"/>
                      <w14:lumOff w14:val="5000"/>
                    </w14:schemeClr>
                  </w14:solidFill>
                </w14:textFill>
              </w:rPr>
              <w:t>校级</w:t>
            </w:r>
            <w:r>
              <w:rPr>
                <w:rFonts w:eastAsia="仿宋"/>
                <w:bCs/>
                <w:color w:val="0D0D0D" w:themeColor="text1" w:themeTint="F2"/>
                <w:kern w:val="0"/>
                <w:szCs w:val="21"/>
                <w14:textFill>
                  <w14:solidFill>
                    <w14:schemeClr w14:val="tx1">
                      <w14:lumMod w14:val="95000"/>
                      <w14:lumOff w14:val="5000"/>
                    </w14:schemeClr>
                  </w14:solidFill>
                </w14:textFill>
              </w:rPr>
              <w:t>文件证明学校设立了</w:t>
            </w:r>
            <w:r>
              <w:rPr>
                <w:rFonts w:eastAsia="仿宋"/>
                <w:color w:val="0D0D0D" w:themeColor="text1" w:themeTint="F2"/>
                <w:kern w:val="0"/>
                <w:szCs w:val="21"/>
                <w14:textFill>
                  <w14:solidFill>
                    <w14:schemeClr w14:val="tx1">
                      <w14:lumMod w14:val="95000"/>
                      <w14:lumOff w14:val="5000"/>
                    </w14:schemeClr>
                  </w14:solidFill>
                </w14:textFill>
              </w:rPr>
              <w:t>检查队伍，并有</w:t>
            </w:r>
            <w:r>
              <w:rPr>
                <w:rFonts w:eastAsia="仿宋"/>
                <w:bCs/>
                <w:color w:val="0D0D0D" w:themeColor="text1" w:themeTint="F2"/>
                <w:kern w:val="0"/>
                <w:szCs w:val="21"/>
                <w14:textFill>
                  <w14:solidFill>
                    <w14:schemeClr w14:val="tx1">
                      <w14:lumMod w14:val="95000"/>
                      <w14:lumOff w14:val="5000"/>
                    </w14:schemeClr>
                  </w14:solidFill>
                </w14:textFill>
              </w:rPr>
              <w:t>工作记录</w:t>
            </w:r>
          </w:p>
        </w:tc>
        <w:tc>
          <w:tcPr>
            <w:tcW w:w="2543"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1.4.3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（15）有培训记录（证书、电子文档、书面记录）等证明培训及合格情况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1.5</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1.5.1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采用信息化手段管理实验室安全</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（16）学校建设信息管理等系统用于实验室安全管理</w:t>
            </w:r>
          </w:p>
        </w:tc>
        <w:tc>
          <w:tcPr>
            <w:tcW w:w="2543"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1.5.2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建立实验室安全工作档案</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（17）包括责任体系、队伍建设、安全制度、奖惩、教育培训、安全检查、隐患整改、事故调查与处理、专业安全、其它相关的常规或阶段性工作归档资料等</w:t>
            </w:r>
            <w:r>
              <w:rPr>
                <w:rFonts w:hint="eastAsia" w:eastAsia="仿宋"/>
                <w:color w:val="0D0D0D" w:themeColor="text1" w:themeTint="F2"/>
                <w:kern w:val="0"/>
                <w:szCs w:val="21"/>
                <w14:textFill>
                  <w14:solidFill>
                    <w14:schemeClr w14:val="tx1">
                      <w14:lumMod w14:val="95000"/>
                      <w14:lumOff w14:val="5000"/>
                    </w14:schemeClr>
                  </w14:solidFill>
                </w14:textFill>
              </w:rPr>
              <w:t>，且</w:t>
            </w:r>
            <w:r>
              <w:rPr>
                <w:rFonts w:eastAsia="仿宋"/>
                <w:color w:val="0D0D0D" w:themeColor="text1" w:themeTint="F2"/>
                <w:kern w:val="0"/>
                <w:szCs w:val="21"/>
                <w14:textFill>
                  <w14:solidFill>
                    <w14:schemeClr w14:val="tx1">
                      <w14:lumMod w14:val="95000"/>
                      <w14:lumOff w14:val="5000"/>
                    </w14:schemeClr>
                  </w14:solidFill>
                </w14:textFill>
              </w:rPr>
              <w:t>档案分类规范合理，便于查找</w:t>
            </w:r>
          </w:p>
        </w:tc>
        <w:tc>
          <w:tcPr>
            <w:tcW w:w="2543"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2</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2.1</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48"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2.1.1</w:t>
            </w:r>
          </w:p>
        </w:tc>
        <w:tc>
          <w:tcPr>
            <w:tcW w:w="382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有校级实验室安全管理</w:t>
            </w:r>
            <w:r>
              <w:rPr>
                <w:rFonts w:hint="eastAsia" w:eastAsia="仿宋"/>
                <w:bCs/>
                <w:color w:val="0D0D0D" w:themeColor="text1" w:themeTint="F2"/>
                <w:kern w:val="0"/>
                <w:szCs w:val="21"/>
                <w14:textFill>
                  <w14:solidFill>
                    <w14:schemeClr w14:val="tx1">
                      <w14:lumMod w14:val="95000"/>
                      <w14:lumOff w14:val="5000"/>
                    </w14:schemeClr>
                  </w14:solidFill>
                </w14:textFill>
              </w:rPr>
              <w:t>制度</w:t>
            </w:r>
          </w:p>
        </w:tc>
        <w:tc>
          <w:tcPr>
            <w:tcW w:w="7660" w:type="dxa"/>
            <w:tcMar>
              <w:left w:w="45" w:type="dxa"/>
              <w:right w:w="45" w:type="dxa"/>
            </w:tcMar>
            <w:vAlign w:val="center"/>
          </w:tcPr>
          <w:p>
            <w:pPr>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（18）有</w:t>
            </w:r>
            <w:r>
              <w:rPr>
                <w:rFonts w:hint="eastAsia" w:eastAsia="仿宋"/>
                <w:bCs/>
                <w:color w:val="0D0D0D" w:themeColor="text1" w:themeTint="F2"/>
                <w:kern w:val="0"/>
                <w:szCs w:val="21"/>
                <w14:textFill>
                  <w14:solidFill>
                    <w14:schemeClr w14:val="tx1">
                      <w14:lumMod w14:val="95000"/>
                      <w14:lumOff w14:val="5000"/>
                    </w14:schemeClr>
                  </w14:solidFill>
                </w14:textFill>
              </w:rPr>
              <w:t>正式发文</w:t>
            </w:r>
            <w:r>
              <w:rPr>
                <w:rFonts w:eastAsia="仿宋"/>
                <w:bCs/>
                <w:color w:val="0D0D0D" w:themeColor="text1" w:themeTint="F2"/>
                <w:kern w:val="0"/>
                <w:szCs w:val="21"/>
                <w14:textFill>
                  <w14:solidFill>
                    <w14:schemeClr w14:val="tx1">
                      <w14:lumMod w14:val="95000"/>
                      <w14:lumOff w14:val="5000"/>
                    </w14:schemeClr>
                  </w14:solidFill>
                </w14:textFill>
              </w:rPr>
              <w:t xml:space="preserve">的校级实验室安全管理规定，内容包括上位法依据、实验室范围、安全管理原则、组织架构、责任体系、奖惩、事故处理、责任与追究、安全文化等要素 </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848"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2.1.2</w:t>
            </w:r>
          </w:p>
        </w:tc>
        <w:tc>
          <w:tcPr>
            <w:tcW w:w="382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有校级实验室安全管理</w:t>
            </w:r>
            <w:r>
              <w:rPr>
                <w:rFonts w:hint="eastAsia" w:eastAsia="仿宋"/>
                <w:bCs/>
                <w:color w:val="0D0D0D" w:themeColor="text1" w:themeTint="F2"/>
                <w:kern w:val="0"/>
                <w:szCs w:val="21"/>
                <w14:textFill>
                  <w14:solidFill>
                    <w14:schemeClr w14:val="tx1">
                      <w14:lumMod w14:val="95000"/>
                      <w14:lumOff w14:val="5000"/>
                    </w14:schemeClr>
                  </w14:solidFill>
                </w14:textFill>
              </w:rPr>
              <w:t>办法或细则、应急预案</w:t>
            </w:r>
          </w:p>
        </w:tc>
        <w:tc>
          <w:tcPr>
            <w:tcW w:w="7660" w:type="dxa"/>
            <w:tcMar>
              <w:left w:w="45" w:type="dxa"/>
              <w:right w:w="45" w:type="dxa"/>
            </w:tcMar>
            <w:vAlign w:val="center"/>
          </w:tcPr>
          <w:p>
            <w:pPr>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w:t>
            </w:r>
            <w:r>
              <w:rPr>
                <w:rFonts w:hint="eastAsia" w:eastAsia="仿宋"/>
                <w:bCs/>
                <w:color w:val="0D0D0D" w:themeColor="text1" w:themeTint="F2"/>
                <w:kern w:val="0"/>
                <w:szCs w:val="21"/>
                <w14:textFill>
                  <w14:solidFill>
                    <w14:schemeClr w14:val="tx1">
                      <w14:lumMod w14:val="95000"/>
                      <w14:lumOff w14:val="5000"/>
                    </w14:schemeClr>
                  </w14:solidFill>
                </w14:textFill>
              </w:rPr>
              <w:t>1</w:t>
            </w:r>
            <w:r>
              <w:rPr>
                <w:rFonts w:eastAsia="仿宋"/>
                <w:bCs/>
                <w:color w:val="0D0D0D" w:themeColor="text1" w:themeTint="F2"/>
                <w:kern w:val="0"/>
                <w:szCs w:val="21"/>
                <w14:textFill>
                  <w14:solidFill>
                    <w14:schemeClr w14:val="tx1">
                      <w14:lumMod w14:val="95000"/>
                      <w14:lumOff w14:val="5000"/>
                    </w14:schemeClr>
                  </w14:solidFill>
                </w14:textFill>
              </w:rPr>
              <w:t>9）学校或职能部门依据危险源情况</w:t>
            </w:r>
            <w:r>
              <w:rPr>
                <w:rFonts w:hint="eastAsia" w:eastAsia="仿宋"/>
                <w:bCs/>
                <w:color w:val="0D0D0D" w:themeColor="text1" w:themeTint="F2"/>
                <w:kern w:val="0"/>
                <w:szCs w:val="21"/>
                <w14:textFill>
                  <w14:solidFill>
                    <w14:schemeClr w14:val="tx1">
                      <w14:lumMod w14:val="95000"/>
                      <w14:lumOff w14:val="5000"/>
                    </w14:schemeClr>
                  </w14:solidFill>
                </w14:textFill>
              </w:rPr>
              <w:t>制定</w:t>
            </w:r>
            <w:r>
              <w:rPr>
                <w:rFonts w:eastAsia="仿宋"/>
                <w:bCs/>
                <w:color w:val="0D0D0D" w:themeColor="text1" w:themeTint="F2"/>
                <w:kern w:val="0"/>
                <w:szCs w:val="21"/>
                <w14:textFill>
                  <w14:solidFill>
                    <w14:schemeClr w14:val="tx1">
                      <w14:lumMod w14:val="95000"/>
                      <w14:lumOff w14:val="5000"/>
                    </w14:schemeClr>
                  </w14:solidFill>
                </w14:textFill>
              </w:rPr>
              <w:t>实验室分级</w:t>
            </w:r>
            <w:r>
              <w:rPr>
                <w:rFonts w:hint="eastAsia" w:eastAsia="仿宋"/>
                <w:bCs/>
                <w:color w:val="0D0D0D" w:themeColor="text1" w:themeTint="F2"/>
                <w:kern w:val="0"/>
                <w:szCs w:val="21"/>
                <w14:textFill>
                  <w14:solidFill>
                    <w14:schemeClr w14:val="tx1">
                      <w14:lumMod w14:val="95000"/>
                      <w14:lumOff w14:val="5000"/>
                    </w14:schemeClr>
                  </w14:solidFill>
                </w14:textFill>
              </w:rPr>
              <w:t>分类</w:t>
            </w:r>
            <w:r>
              <w:rPr>
                <w:rFonts w:eastAsia="仿宋"/>
                <w:bCs/>
                <w:color w:val="0D0D0D" w:themeColor="text1" w:themeTint="F2"/>
                <w:kern w:val="0"/>
                <w:szCs w:val="21"/>
                <w14:textFill>
                  <w14:solidFill>
                    <w14:schemeClr w14:val="tx1">
                      <w14:lumMod w14:val="95000"/>
                      <w14:lumOff w14:val="5000"/>
                    </w14:schemeClr>
                  </w14:solidFill>
                </w14:textFill>
              </w:rPr>
              <w:t>、准入管理、安全检查、奖惩，以及</w:t>
            </w:r>
            <w:r>
              <w:rPr>
                <w:rFonts w:hint="eastAsia" w:eastAsia="仿宋"/>
                <w:bCs/>
                <w:color w:val="0D0D0D" w:themeColor="text1" w:themeTint="F2"/>
                <w:kern w:val="0"/>
                <w:szCs w:val="21"/>
                <w14:textFill>
                  <w14:solidFill>
                    <w14:schemeClr w14:val="tx1">
                      <w14:lumMod w14:val="95000"/>
                      <w14:lumOff w14:val="5000"/>
                    </w14:schemeClr>
                  </w14:solidFill>
                </w14:textFill>
              </w:rPr>
              <w:t>各类专业安全</w:t>
            </w:r>
            <w:r>
              <w:rPr>
                <w:rFonts w:eastAsia="仿宋"/>
                <w:bCs/>
                <w:color w:val="0D0D0D" w:themeColor="text1" w:themeTint="F2"/>
                <w:kern w:val="0"/>
                <w:szCs w:val="21"/>
                <w14:textFill>
                  <w14:solidFill>
                    <w14:schemeClr w14:val="tx1">
                      <w14:lumMod w14:val="95000"/>
                      <w14:lumOff w14:val="5000"/>
                    </w14:schemeClr>
                  </w14:solidFill>
                </w14:textFill>
              </w:rPr>
              <w:t>等二级管理办法</w:t>
            </w:r>
            <w:r>
              <w:rPr>
                <w:rFonts w:hint="eastAsia" w:eastAsia="仿宋"/>
                <w:bCs/>
                <w:color w:val="0D0D0D" w:themeColor="text1" w:themeTint="F2"/>
                <w:kern w:val="0"/>
                <w:szCs w:val="21"/>
                <w14:textFill>
                  <w14:solidFill>
                    <w14:schemeClr w14:val="tx1">
                      <w14:lumMod w14:val="95000"/>
                      <w14:lumOff w14:val="5000"/>
                    </w14:schemeClr>
                  </w14:solidFill>
                </w14:textFill>
              </w:rPr>
              <w:t>，并正式发文；</w:t>
            </w:r>
          </w:p>
          <w:p>
            <w:pPr>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（20）有校级的实验室安全事故应急处置预案</w:t>
            </w:r>
            <w:r>
              <w:rPr>
                <w:rFonts w:hint="eastAsia" w:eastAsia="仿宋"/>
                <w:bCs/>
                <w:color w:val="0D0D0D" w:themeColor="text1" w:themeTint="F2"/>
                <w:kern w:val="0"/>
                <w:szCs w:val="21"/>
                <w14:textFill>
                  <w14:solidFill>
                    <w14:schemeClr w14:val="tx1">
                      <w14:lumMod w14:val="95000"/>
                      <w14:lumOff w14:val="5000"/>
                    </w14:schemeClr>
                  </w14:solidFill>
                </w14:textFill>
              </w:rPr>
              <w:t>，并正式发文</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848"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2.1.3</w:t>
            </w:r>
          </w:p>
        </w:tc>
        <w:tc>
          <w:tcPr>
            <w:tcW w:w="382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有院系级实验安全管理制度</w:t>
            </w:r>
          </w:p>
        </w:tc>
        <w:tc>
          <w:tcPr>
            <w:tcW w:w="7660" w:type="dxa"/>
            <w:tcMar>
              <w:left w:w="45" w:type="dxa"/>
              <w:right w:w="45" w:type="dxa"/>
            </w:tcMar>
            <w:vAlign w:val="center"/>
          </w:tcPr>
          <w:p>
            <w:pPr>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（21）建有院系特色的实验室安全管理制度，包含安全检查、风险评估、实验室准入、应急预案、安全培训等</w:t>
            </w:r>
            <w:r>
              <w:rPr>
                <w:rFonts w:hint="eastAsia" w:eastAsia="仿宋"/>
                <w:bCs/>
                <w:color w:val="0D0D0D" w:themeColor="text1" w:themeTint="F2"/>
                <w:kern w:val="0"/>
                <w:szCs w:val="21"/>
                <w14:textFill>
                  <w14:solidFill>
                    <w14:schemeClr w14:val="tx1">
                      <w14:lumMod w14:val="95000"/>
                      <w14:lumOff w14:val="5000"/>
                    </w14:schemeClr>
                  </w14:solidFill>
                </w14:textFill>
              </w:rPr>
              <w:t>内容；</w:t>
            </w:r>
            <w:r>
              <w:rPr>
                <w:rFonts w:eastAsia="仿宋"/>
                <w:bCs/>
                <w:color w:val="0D0D0D" w:themeColor="text1" w:themeTint="F2"/>
                <w:kern w:val="0"/>
                <w:szCs w:val="21"/>
                <w14:textFill>
                  <w14:solidFill>
                    <w14:schemeClr w14:val="tx1">
                      <w14:lumMod w14:val="95000"/>
                      <w14:lumOff w14:val="5000"/>
                    </w14:schemeClr>
                  </w14:solidFill>
                </w14:textFill>
              </w:rPr>
              <w:t>制度文件应</w:t>
            </w:r>
            <w:r>
              <w:rPr>
                <w:rFonts w:hint="eastAsia" w:eastAsia="仿宋"/>
                <w:bCs/>
                <w:color w:val="0D0D0D" w:themeColor="text1" w:themeTint="F2"/>
                <w:kern w:val="0"/>
                <w:szCs w:val="21"/>
                <w14:textFill>
                  <w14:solidFill>
                    <w14:schemeClr w14:val="tx1">
                      <w14:lumMod w14:val="95000"/>
                      <w14:lumOff w14:val="5000"/>
                    </w14:schemeClr>
                  </w14:solidFill>
                </w14:textFill>
              </w:rPr>
              <w:t>有</w:t>
            </w:r>
            <w:r>
              <w:rPr>
                <w:rFonts w:eastAsia="仿宋"/>
                <w:bCs/>
                <w:color w:val="0D0D0D" w:themeColor="text1" w:themeTint="F2"/>
                <w:kern w:val="0"/>
                <w:szCs w:val="21"/>
                <w14:textFill>
                  <w14:solidFill>
                    <w14:schemeClr w14:val="tx1">
                      <w14:lumMod w14:val="95000"/>
                      <w14:lumOff w14:val="5000"/>
                    </w14:schemeClr>
                  </w14:solidFill>
                </w14:textFill>
              </w:rPr>
              <w:t>院系</w:t>
            </w:r>
            <w:r>
              <w:rPr>
                <w:rFonts w:hint="eastAsia" w:eastAsia="仿宋"/>
                <w:bCs/>
                <w:color w:val="0D0D0D" w:themeColor="text1" w:themeTint="F2"/>
                <w:kern w:val="0"/>
                <w:szCs w:val="21"/>
                <w14:textFill>
                  <w14:solidFill>
                    <w14:schemeClr w14:val="tx1">
                      <w14:lumMod w14:val="95000"/>
                      <w14:lumOff w14:val="5000"/>
                    </w14:schemeClr>
                  </w14:solidFill>
                </w14:textFill>
              </w:rPr>
              <w:t>正式发文</w:t>
            </w:r>
            <w:r>
              <w:rPr>
                <w:rFonts w:eastAsia="仿宋"/>
                <w:bCs/>
                <w:color w:val="0D0D0D" w:themeColor="text1" w:themeTint="F2"/>
                <w:kern w:val="0"/>
                <w:szCs w:val="21"/>
                <w14:textFill>
                  <w14:solidFill>
                    <w14:schemeClr w14:val="tx1">
                      <w14:lumMod w14:val="95000"/>
                      <w14:lumOff w14:val="5000"/>
                    </w14:schemeClr>
                  </w14:solidFill>
                </w14:textFill>
              </w:rPr>
              <w:t>，</w:t>
            </w:r>
            <w:r>
              <w:rPr>
                <w:rFonts w:hint="eastAsia" w:eastAsia="仿宋"/>
                <w:bCs/>
                <w:color w:val="0D0D0D" w:themeColor="text1" w:themeTint="F2"/>
                <w:kern w:val="0"/>
                <w:szCs w:val="21"/>
                <w14:textFill>
                  <w14:solidFill>
                    <w14:schemeClr w14:val="tx1">
                      <w14:lumMod w14:val="95000"/>
                      <w14:lumOff w14:val="5000"/>
                    </w14:schemeClr>
                  </w14:solidFill>
                </w14:textFill>
              </w:rPr>
              <w:t>并及</w:t>
            </w:r>
            <w:r>
              <w:rPr>
                <w:rFonts w:eastAsia="仿宋"/>
                <w:bCs/>
                <w:color w:val="0D0D0D" w:themeColor="text1" w:themeTint="F2"/>
                <w:kern w:val="0"/>
                <w:szCs w:val="21"/>
                <w14:textFill>
                  <w14:solidFill>
                    <w14:schemeClr w14:val="tx1">
                      <w14:lumMod w14:val="95000"/>
                      <w14:lumOff w14:val="5000"/>
                    </w14:schemeClr>
                  </w14:solidFill>
                </w14:textFill>
              </w:rPr>
              <w:t>时修订更新；文件应具有可操作性或实际管理效用</w:t>
            </w:r>
          </w:p>
        </w:tc>
        <w:tc>
          <w:tcPr>
            <w:tcW w:w="2543" w:type="dxa"/>
            <w:tcMar>
              <w:left w:w="45" w:type="dxa"/>
              <w:right w:w="45" w:type="dxa"/>
            </w:tcMar>
            <w:vAlign w:val="center"/>
          </w:tcPr>
          <w:p>
            <w:pPr>
              <w:widowControl/>
              <w:spacing w:line="300" w:lineRule="exact"/>
              <w:rPr>
                <w:rFonts w:eastAsia="仿宋"/>
                <w:bCs/>
                <w:color w:val="0D0D0D" w:themeColor="text1" w:themeTint="F2"/>
                <w:kern w:val="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3</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3.1</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3.1.1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开设实验室安全必修课或选修课</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（22）对于有</w:t>
            </w:r>
            <w:r>
              <w:rPr>
                <w:rFonts w:eastAsia="仿宋"/>
                <w:color w:val="0D0D0D" w:themeColor="text1" w:themeTint="F2"/>
                <w:kern w:val="0"/>
                <w:szCs w:val="21"/>
                <w14:textFill>
                  <w14:solidFill>
                    <w14:schemeClr w14:val="tx1">
                      <w14:lumMod w14:val="95000"/>
                      <w14:lumOff w14:val="5000"/>
                    </w14:schemeClr>
                  </w14:solidFill>
                </w14:textFill>
              </w:rPr>
              <w:t>重</w:t>
            </w:r>
            <w:r>
              <w:rPr>
                <w:rFonts w:hint="eastAsia" w:eastAsia="仿宋"/>
                <w:color w:val="0D0D0D" w:themeColor="text1" w:themeTint="F2"/>
                <w:kern w:val="0"/>
                <w:szCs w:val="21"/>
                <w14:textFill>
                  <w14:solidFill>
                    <w14:schemeClr w14:val="tx1">
                      <w14:lumMod w14:val="95000"/>
                      <w14:lumOff w14:val="5000"/>
                    </w14:schemeClr>
                  </w14:solidFill>
                </w14:textFill>
              </w:rPr>
              <w:t>要危</w:t>
            </w:r>
            <w:r>
              <w:rPr>
                <w:rFonts w:eastAsia="仿宋"/>
                <w:color w:val="0D0D0D" w:themeColor="text1" w:themeTint="F2"/>
                <w:kern w:val="0"/>
                <w:szCs w:val="21"/>
                <w14:textFill>
                  <w14:solidFill>
                    <w14:schemeClr w14:val="tx1">
                      <w14:lumMod w14:val="95000"/>
                      <w14:lumOff w14:val="5000"/>
                    </w14:schemeClr>
                  </w14:solidFill>
                </w14:textFill>
              </w:rPr>
              <w:t>险源</w:t>
            </w:r>
            <w:r>
              <w:rPr>
                <w:rFonts w:eastAsia="仿宋"/>
                <w:bCs/>
                <w:color w:val="0D0D0D" w:themeColor="text1" w:themeTint="F2"/>
                <w:kern w:val="0"/>
                <w:szCs w:val="21"/>
                <w14:textFill>
                  <w14:solidFill>
                    <w14:schemeClr w14:val="tx1">
                      <w14:lumMod w14:val="95000"/>
                      <w14:lumOff w14:val="5000"/>
                    </w14:schemeClr>
                  </w14:solidFill>
                </w14:textFill>
              </w:rPr>
              <w:t>（见第1</w:t>
            </w:r>
            <w:r>
              <w:rPr>
                <w:rFonts w:hint="eastAsia" w:eastAsia="仿宋"/>
                <w:bCs/>
                <w:color w:val="0D0D0D" w:themeColor="text1" w:themeTint="F2"/>
                <w:kern w:val="0"/>
                <w:szCs w:val="21"/>
                <w14:textFill>
                  <w14:solidFill>
                    <w14:schemeClr w14:val="tx1">
                      <w14:lumMod w14:val="95000"/>
                      <w14:lumOff w14:val="5000"/>
                    </w14:schemeClr>
                  </w14:solidFill>
                </w14:textFill>
              </w:rPr>
              <w:t>2目</w:t>
            </w:r>
            <w:r>
              <w:rPr>
                <w:rFonts w:eastAsia="仿宋"/>
                <w:bCs/>
                <w:color w:val="0D0D0D" w:themeColor="text1" w:themeTint="F2"/>
                <w:kern w:val="0"/>
                <w:szCs w:val="21"/>
                <w14:textFill>
                  <w14:solidFill>
                    <w14:schemeClr w14:val="tx1">
                      <w14:lumMod w14:val="95000"/>
                      <w14:lumOff w14:val="5000"/>
                    </w14:schemeClr>
                  </w14:solidFill>
                </w14:textFill>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3.1.2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开展校级安全教育培训活动</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（23）校级层面每年有档案证明开展了实验室安全教育培训</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3.1.3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院系开展专业安全培训活动</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（24）院系层面每年有档案证明开展了实验室安全教育培训，</w:t>
            </w:r>
            <w:r>
              <w:rPr>
                <w:rFonts w:eastAsia="仿宋"/>
                <w:color w:val="0D0D0D" w:themeColor="text1" w:themeTint="F2"/>
                <w:kern w:val="0"/>
                <w:szCs w:val="21"/>
                <w14:textFill>
                  <w14:solidFill>
                    <w14:schemeClr w14:val="tx1">
                      <w14:lumMod w14:val="95000"/>
                      <w14:lumOff w14:val="5000"/>
                    </w14:schemeClr>
                  </w14:solidFill>
                </w14:textFill>
              </w:rPr>
              <w:t>重点关注外来人员和研究生新生</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3.1.4</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开展结合学科特点的应急演练</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（25）每年有校级的实验室安全事故应急演练</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3.1.5</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组织实验室安全知识考试</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（26）建设有考试</w:t>
            </w:r>
            <w:r>
              <w:rPr>
                <w:rFonts w:hint="eastAsia" w:eastAsia="仿宋"/>
                <w:color w:val="0D0D0D" w:themeColor="text1" w:themeTint="F2"/>
                <w:kern w:val="0"/>
                <w:szCs w:val="21"/>
                <w14:textFill>
                  <w14:solidFill>
                    <w14:schemeClr w14:val="tx1">
                      <w14:lumMod w14:val="95000"/>
                      <w14:lumOff w14:val="5000"/>
                    </w14:schemeClr>
                  </w14:solidFill>
                </w14:textFill>
              </w:rPr>
              <w:t>系统</w:t>
            </w:r>
            <w:r>
              <w:rPr>
                <w:rFonts w:eastAsia="仿宋"/>
                <w:color w:val="0D0D0D" w:themeColor="text1" w:themeTint="F2"/>
                <w:kern w:val="0"/>
                <w:szCs w:val="21"/>
                <w14:textFill>
                  <w14:solidFill>
                    <w14:schemeClr w14:val="tx1">
                      <w14:lumMod w14:val="95000"/>
                      <w14:lumOff w14:val="5000"/>
                    </w14:schemeClr>
                  </w14:solidFill>
                </w14:textFill>
              </w:rPr>
              <w:t>或考试题库并及时更新，从事实验工作的学生、教职工及外来人员均需参加考试，通过者发放合格证书或保留记录</w:t>
            </w:r>
          </w:p>
        </w:tc>
        <w:tc>
          <w:tcPr>
            <w:tcW w:w="2543" w:type="dxa"/>
            <w:tcMar>
              <w:left w:w="45" w:type="dxa"/>
              <w:right w:w="45" w:type="dxa"/>
            </w:tcMar>
            <w:vAlign w:val="center"/>
          </w:tcPr>
          <w:p>
            <w:pPr>
              <w:rPr>
                <w:rFonts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3.2</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3.2.1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建设有学校特色的安全文化</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（27）学校有网页设立专栏开展安全宣传</w:t>
            </w:r>
          </w:p>
        </w:tc>
        <w:tc>
          <w:tcPr>
            <w:tcW w:w="2543" w:type="dxa"/>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3.2.2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编印学校实验室安全手册</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（28）将实验室安全手册发放到每一位从事实验活动的师生</w:t>
            </w:r>
          </w:p>
        </w:tc>
        <w:tc>
          <w:tcPr>
            <w:tcW w:w="2543" w:type="dxa"/>
            <w:tcMar>
              <w:left w:w="45" w:type="dxa"/>
              <w:right w:w="45" w:type="dxa"/>
            </w:tcMar>
            <w:vAlign w:val="center"/>
          </w:tcPr>
          <w:p>
            <w:pPr>
              <w:rPr>
                <w:rFonts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3.2.3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创新宣传教育形式，加强安全文化建设</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（29）通过微信公众号、微博、工作简报、文化月、专项整治活动、安全评估、知识竞赛、微电影等方式，加强安全宣传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4</w:t>
            </w:r>
          </w:p>
        </w:tc>
        <w:tc>
          <w:tcPr>
            <w:tcW w:w="14023" w:type="dxa"/>
            <w:gridSpan w:val="3"/>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r>
              <w:rPr>
                <w:rFonts w:eastAsia="仿宋"/>
                <w:b/>
                <w:bCs/>
                <w:color w:val="0D0D0D" w:themeColor="text1" w:themeTint="F2"/>
                <w:kern w:val="0"/>
                <w:szCs w:val="21"/>
                <w14:textFill>
                  <w14:solidFill>
                    <w14:schemeClr w14:val="tx1">
                      <w14:lumMod w14:val="95000"/>
                      <w14:lumOff w14:val="5000"/>
                    </w14:schemeClr>
                  </w14:solidFill>
                </w14:textFill>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4.1</w:t>
            </w:r>
          </w:p>
        </w:tc>
        <w:tc>
          <w:tcPr>
            <w:tcW w:w="14023" w:type="dxa"/>
            <w:gridSpan w:val="3"/>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r>
              <w:rPr>
                <w:rFonts w:eastAsia="仿宋"/>
                <w:b/>
                <w:bCs/>
                <w:color w:val="0D0D0D" w:themeColor="text1" w:themeTint="F2"/>
                <w:kern w:val="0"/>
                <w:szCs w:val="21"/>
                <w14:textFill>
                  <w14:solidFill>
                    <w14:schemeClr w14:val="tx1">
                      <w14:lumMod w14:val="95000"/>
                      <w14:lumOff w14:val="5000"/>
                    </w14:schemeClr>
                  </w14:solidFill>
                </w14:textFill>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4.1.1</w:t>
            </w:r>
          </w:p>
        </w:tc>
        <w:tc>
          <w:tcPr>
            <w:tcW w:w="382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学校、院系层面建立危险源分布清单</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（30）清单内容需包括单位、房间、类别、数量、责任人等信息</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4.1.2</w:t>
            </w:r>
          </w:p>
        </w:tc>
        <w:tc>
          <w:tcPr>
            <w:tcW w:w="382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涉及危险源的实验场所，应有明确的警示标识</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（31）涉及重</w:t>
            </w:r>
            <w:r>
              <w:rPr>
                <w:rFonts w:hint="eastAsia" w:eastAsia="仿宋"/>
                <w:bCs/>
                <w:color w:val="0D0D0D" w:themeColor="text1" w:themeTint="F2"/>
                <w:kern w:val="0"/>
                <w:szCs w:val="21"/>
                <w14:textFill>
                  <w14:solidFill>
                    <w14:schemeClr w14:val="tx1">
                      <w14:lumMod w14:val="95000"/>
                      <w14:lumOff w14:val="5000"/>
                    </w14:schemeClr>
                  </w14:solidFill>
                </w14:textFill>
              </w:rPr>
              <w:t>要</w:t>
            </w:r>
            <w:r>
              <w:rPr>
                <w:rFonts w:eastAsia="仿宋"/>
                <w:bCs/>
                <w:color w:val="0D0D0D" w:themeColor="text1" w:themeTint="F2"/>
                <w:kern w:val="0"/>
                <w:szCs w:val="21"/>
                <w14:textFill>
                  <w14:solidFill>
                    <w14:schemeClr w14:val="tx1">
                      <w14:lumMod w14:val="95000"/>
                      <w14:lumOff w14:val="5000"/>
                    </w14:schemeClr>
                  </w14:solidFill>
                </w14:textFill>
              </w:rPr>
              <w:t>危险源（见第1</w:t>
            </w:r>
            <w:r>
              <w:rPr>
                <w:rFonts w:hint="eastAsia" w:eastAsia="仿宋"/>
                <w:bCs/>
                <w:color w:val="0D0D0D" w:themeColor="text1" w:themeTint="F2"/>
                <w:kern w:val="0"/>
                <w:szCs w:val="21"/>
                <w14:textFill>
                  <w14:solidFill>
                    <w14:schemeClr w14:val="tx1">
                      <w14:lumMod w14:val="95000"/>
                      <w14:lumOff w14:val="5000"/>
                    </w14:schemeClr>
                  </w14:solidFill>
                </w14:textFill>
              </w:rPr>
              <w:t>2目</w:t>
            </w:r>
            <w:r>
              <w:rPr>
                <w:rFonts w:eastAsia="仿宋"/>
                <w:bCs/>
                <w:color w:val="0D0D0D" w:themeColor="text1" w:themeTint="F2"/>
                <w:kern w:val="0"/>
                <w:szCs w:val="21"/>
                <w14:textFill>
                  <w14:solidFill>
                    <w14:schemeClr w14:val="tx1">
                      <w14:lumMod w14:val="95000"/>
                      <w14:lumOff w14:val="5000"/>
                    </w14:schemeClr>
                  </w14:solidFill>
                </w14:textFill>
              </w:rPr>
              <w:t>）的场所，有显著的警示标识</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4.1.3</w:t>
            </w:r>
          </w:p>
        </w:tc>
        <w:tc>
          <w:tcPr>
            <w:tcW w:w="382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建立针对重要危险源的风险评估和应急管控方案</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（32）学校、院系、实验室应逐级建立风险分级管控方案</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4.2</w:t>
            </w:r>
          </w:p>
        </w:tc>
        <w:tc>
          <w:tcPr>
            <w:tcW w:w="14023" w:type="dxa"/>
            <w:gridSpan w:val="3"/>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r>
              <w:rPr>
                <w:rFonts w:eastAsia="仿宋"/>
                <w:b/>
                <w:bCs/>
                <w:color w:val="0D0D0D" w:themeColor="text1" w:themeTint="F2"/>
                <w:kern w:val="0"/>
                <w:szCs w:val="21"/>
                <w14:textFill>
                  <w14:solidFill>
                    <w14:schemeClr w14:val="tx1">
                      <w14:lumMod w14:val="95000"/>
                      <w14:lumOff w14:val="5000"/>
                    </w14:schemeClr>
                  </w14:solidFill>
                </w14:textFill>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4.2.1</w:t>
            </w:r>
          </w:p>
        </w:tc>
        <w:tc>
          <w:tcPr>
            <w:tcW w:w="3820" w:type="dxa"/>
            <w:tcMar>
              <w:left w:w="45" w:type="dxa"/>
              <w:right w:w="45" w:type="dxa"/>
            </w:tcMar>
            <w:vAlign w:val="center"/>
          </w:tcPr>
          <w:p>
            <w:pPr>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学校层面开展定期/不定期检查</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（33）每年不少于4次，并记录存档</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4.2.2</w:t>
            </w:r>
          </w:p>
        </w:tc>
        <w:tc>
          <w:tcPr>
            <w:tcW w:w="3820" w:type="dxa"/>
            <w:tcMar>
              <w:left w:w="45" w:type="dxa"/>
              <w:right w:w="45" w:type="dxa"/>
            </w:tcMar>
            <w:vAlign w:val="center"/>
          </w:tcPr>
          <w:p>
            <w:pPr>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院系层面开展定期检查</w:t>
            </w:r>
          </w:p>
        </w:tc>
        <w:tc>
          <w:tcPr>
            <w:tcW w:w="7660" w:type="dxa"/>
            <w:tcMar>
              <w:left w:w="45" w:type="dxa"/>
              <w:right w:w="45" w:type="dxa"/>
            </w:tcMar>
            <w:vAlign w:val="center"/>
          </w:tcPr>
          <w:p>
            <w:pPr>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（34）每月不少于1次，并记录存档</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4.2.3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针对高危实验物品开展专项检查</w:t>
            </w:r>
          </w:p>
        </w:tc>
        <w:tc>
          <w:tcPr>
            <w:tcW w:w="7660" w:type="dxa"/>
            <w:tcMar>
              <w:left w:w="45" w:type="dxa"/>
              <w:right w:w="45" w:type="dxa"/>
            </w:tcMar>
            <w:vAlign w:val="center"/>
          </w:tcPr>
          <w:p>
            <w:pPr>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（35）针对</w:t>
            </w:r>
            <w:r>
              <w:rPr>
                <w:rFonts w:eastAsia="仿宋"/>
                <w:bCs/>
                <w:color w:val="0D0D0D" w:themeColor="text1" w:themeTint="F2"/>
                <w:kern w:val="0"/>
                <w:szCs w:val="21"/>
                <w14:textFill>
                  <w14:solidFill>
                    <w14:schemeClr w14:val="tx1">
                      <w14:lumMod w14:val="95000"/>
                      <w14:lumOff w14:val="5000"/>
                    </w14:schemeClr>
                  </w14:solidFill>
                </w14:textFill>
              </w:rPr>
              <w:t>重</w:t>
            </w:r>
            <w:r>
              <w:rPr>
                <w:rFonts w:hint="eastAsia" w:eastAsia="仿宋"/>
                <w:bCs/>
                <w:color w:val="0D0D0D" w:themeColor="text1" w:themeTint="F2"/>
                <w:kern w:val="0"/>
                <w:szCs w:val="21"/>
                <w14:textFill>
                  <w14:solidFill>
                    <w14:schemeClr w14:val="tx1">
                      <w14:lumMod w14:val="95000"/>
                      <w14:lumOff w14:val="5000"/>
                    </w14:schemeClr>
                  </w14:solidFill>
                </w14:textFill>
              </w:rPr>
              <w:t>要</w:t>
            </w:r>
            <w:r>
              <w:rPr>
                <w:rFonts w:eastAsia="仿宋"/>
                <w:bCs/>
                <w:color w:val="0D0D0D" w:themeColor="text1" w:themeTint="F2"/>
                <w:kern w:val="0"/>
                <w:szCs w:val="21"/>
                <w14:textFill>
                  <w14:solidFill>
                    <w14:schemeClr w14:val="tx1">
                      <w14:lumMod w14:val="95000"/>
                      <w14:lumOff w14:val="5000"/>
                    </w14:schemeClr>
                  </w14:solidFill>
                </w14:textFill>
              </w:rPr>
              <w:t>险源（见第1</w:t>
            </w:r>
            <w:r>
              <w:rPr>
                <w:rFonts w:hint="eastAsia" w:eastAsia="仿宋"/>
                <w:bCs/>
                <w:color w:val="0D0D0D" w:themeColor="text1" w:themeTint="F2"/>
                <w:kern w:val="0"/>
                <w:szCs w:val="21"/>
                <w14:textFill>
                  <w14:solidFill>
                    <w14:schemeClr w14:val="tx1">
                      <w14:lumMod w14:val="95000"/>
                      <w14:lumOff w14:val="5000"/>
                    </w14:schemeClr>
                  </w14:solidFill>
                </w14:textFill>
              </w:rPr>
              <w:t>2目</w:t>
            </w:r>
            <w:r>
              <w:rPr>
                <w:rFonts w:eastAsia="仿宋"/>
                <w:bCs/>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，开展定期专项检查</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4.2.4</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实验室房间须建立自检自查台账</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（36）定期检查</w:t>
            </w:r>
            <w:r>
              <w:rPr>
                <w:rFonts w:eastAsia="仿宋"/>
                <w:bCs/>
                <w:color w:val="0D0D0D" w:themeColor="text1" w:themeTint="F2"/>
                <w:kern w:val="0"/>
                <w:szCs w:val="21"/>
                <w14:textFill>
                  <w14:solidFill>
                    <w14:schemeClr w14:val="tx1">
                      <w14:lumMod w14:val="95000"/>
                      <w14:lumOff w14:val="5000"/>
                    </w14:schemeClr>
                  </w14:solidFill>
                </w14:textFill>
              </w:rPr>
              <w:t>并留存记录</w:t>
            </w:r>
          </w:p>
        </w:tc>
        <w:tc>
          <w:tcPr>
            <w:tcW w:w="2543" w:type="dxa"/>
            <w:tcMar>
              <w:left w:w="45" w:type="dxa"/>
              <w:right w:w="45" w:type="dxa"/>
            </w:tcMar>
            <w:vAlign w:val="center"/>
          </w:tcPr>
          <w:p>
            <w:pPr>
              <w:widowControl/>
              <w:spacing w:line="300" w:lineRule="exact"/>
              <w:rPr>
                <w:rFonts w:eastAsia="仿宋"/>
                <w:bCs/>
                <w:color w:val="0D0D0D" w:themeColor="text1" w:themeTint="F2"/>
                <w:kern w:val="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4.2.5</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安全检查人员应配备专业的防护和计量用具</w:t>
            </w:r>
          </w:p>
        </w:tc>
        <w:tc>
          <w:tcPr>
            <w:tcW w:w="7660"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（37）安全检查人员要佩戴标识、配备照相器具；</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（38）进入</w:t>
            </w:r>
            <w:r>
              <w:rPr>
                <w:rFonts w:hint="eastAsia" w:eastAsia="仿宋"/>
                <w:color w:val="0D0D0D" w:themeColor="text1" w:themeTint="F2"/>
                <w:szCs w:val="21"/>
                <w14:textFill>
                  <w14:solidFill>
                    <w14:schemeClr w14:val="tx1">
                      <w14:lumMod w14:val="95000"/>
                      <w14:lumOff w14:val="5000"/>
                    </w14:schemeClr>
                  </w14:solidFill>
                </w14:textFill>
              </w:rPr>
              <w:t>涉及</w:t>
            </w:r>
            <w:r>
              <w:rPr>
                <w:rFonts w:eastAsia="仿宋"/>
                <w:color w:val="0D0D0D" w:themeColor="text1" w:themeTint="F2"/>
                <w:szCs w:val="21"/>
                <w14:textFill>
                  <w14:solidFill>
                    <w14:schemeClr w14:val="tx1">
                      <w14:lumMod w14:val="95000"/>
                      <w14:lumOff w14:val="5000"/>
                    </w14:schemeClr>
                  </w14:solidFill>
                </w14:textFill>
              </w:rPr>
              <w:t>危化品、生物、辐射等实验室要穿戴必要的防护装具；检查辐射场所要佩戴个人辐射剂量计；配备必要的测量、计量用具（</w:t>
            </w:r>
            <w:r>
              <w:rPr>
                <w:rFonts w:hint="eastAsia" w:eastAsia="仿宋"/>
                <w:color w:val="0D0D0D" w:themeColor="text1" w:themeTint="F2"/>
                <w:szCs w:val="21"/>
                <w14:textFill>
                  <w14:solidFill>
                    <w14:schemeClr w14:val="tx1">
                      <w14:lumMod w14:val="95000"/>
                      <w14:lumOff w14:val="5000"/>
                    </w14:schemeClr>
                  </w14:solidFill>
                </w14:textFill>
              </w:rPr>
              <w:t>手持式V</w:t>
            </w:r>
            <w:r>
              <w:rPr>
                <w:rFonts w:eastAsia="仿宋"/>
                <w:color w:val="0D0D0D" w:themeColor="text1" w:themeTint="F2"/>
                <w:szCs w:val="21"/>
                <w14:textFill>
                  <w14:solidFill>
                    <w14:schemeClr w14:val="tx1">
                      <w14:lumMod w14:val="95000"/>
                      <w14:lumOff w14:val="5000"/>
                    </w14:schemeClr>
                  </w14:solidFill>
                </w14:textFill>
              </w:rPr>
              <w:t>OC</w:t>
            </w:r>
            <w:r>
              <w:rPr>
                <w:rFonts w:hint="eastAsia" w:eastAsia="仿宋"/>
                <w:color w:val="0D0D0D" w:themeColor="text1" w:themeTint="F2"/>
                <w:szCs w:val="21"/>
                <w14:textFill>
                  <w14:solidFill>
                    <w14:schemeClr w14:val="tx1">
                      <w14:lumMod w14:val="95000"/>
                      <w14:lumOff w14:val="5000"/>
                    </w14:schemeClr>
                  </w14:solidFill>
                </w14:textFill>
              </w:rPr>
              <w:t>检测仪</w:t>
            </w:r>
            <w:r>
              <w:rPr>
                <w:rFonts w:eastAsia="仿宋"/>
                <w:color w:val="0D0D0D" w:themeColor="text1" w:themeTint="F2"/>
                <w:szCs w:val="21"/>
                <w14:textFill>
                  <w14:solidFill>
                    <w14:schemeClr w14:val="tx1">
                      <w14:lumMod w14:val="95000"/>
                      <w14:lumOff w14:val="5000"/>
                    </w14:schemeClr>
                  </w14:solidFill>
                </w14:textFill>
              </w:rPr>
              <w:t>、声级计、风速仪</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电笔、万用表等）</w:t>
            </w:r>
          </w:p>
        </w:tc>
        <w:tc>
          <w:tcPr>
            <w:tcW w:w="2543" w:type="dxa"/>
            <w:tcMar>
              <w:left w:w="45" w:type="dxa"/>
              <w:right w:w="45" w:type="dxa"/>
            </w:tcMar>
            <w:vAlign w:val="center"/>
          </w:tcPr>
          <w:p>
            <w:pPr>
              <w:widowControl/>
              <w:spacing w:line="300" w:lineRule="exact"/>
              <w:rPr>
                <w:rFonts w:eastAsia="仿宋"/>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4.3</w:t>
            </w:r>
          </w:p>
        </w:tc>
        <w:tc>
          <w:tcPr>
            <w:tcW w:w="14023" w:type="dxa"/>
            <w:gridSpan w:val="3"/>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r>
              <w:rPr>
                <w:rFonts w:eastAsia="仿宋"/>
                <w:b/>
                <w:bCs/>
                <w:color w:val="0D0D0D" w:themeColor="text1" w:themeTint="F2"/>
                <w:kern w:val="0"/>
                <w:szCs w:val="21"/>
                <w14:textFill>
                  <w14:solidFill>
                    <w14:schemeClr w14:val="tx1">
                      <w14:lumMod w14:val="95000"/>
                      <w14:lumOff w14:val="5000"/>
                    </w14:schemeClr>
                  </w14:solidFill>
                </w14:textFill>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4.3.1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（39）通知的方式包括校网上公告、实验室安全简报、书面或电子的整改通知书等形式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4.3.2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院系应对问题隐患进行及时整改</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（40）整改报告应在规定时间内提交学校管理部门；</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（41）如存在重大隐患，实验室应立即停止实验活动，整改完成</w:t>
            </w:r>
            <w:r>
              <w:rPr>
                <w:rFonts w:hint="eastAsia" w:eastAsia="仿宋"/>
                <w:color w:val="0D0D0D" w:themeColor="text1" w:themeTint="F2"/>
                <w:kern w:val="0"/>
                <w:szCs w:val="21"/>
                <w14:textFill>
                  <w14:solidFill>
                    <w14:schemeClr w14:val="tx1">
                      <w14:lumMod w14:val="95000"/>
                      <w14:lumOff w14:val="5000"/>
                    </w14:schemeClr>
                  </w14:solidFill>
                </w14:textFill>
              </w:rPr>
              <w:t>或</w:t>
            </w:r>
            <w:r>
              <w:rPr>
                <w:rFonts w:eastAsia="仿宋"/>
                <w:color w:val="0D0D0D" w:themeColor="text1" w:themeTint="F2"/>
                <w:kern w:val="0"/>
                <w:szCs w:val="21"/>
                <w14:textFill>
                  <w14:solidFill>
                    <w14:schemeClr w14:val="tx1">
                      <w14:lumMod w14:val="95000"/>
                      <w14:lumOff w14:val="5000"/>
                    </w14:schemeClr>
                  </w14:solidFill>
                </w14:textFill>
              </w:rPr>
              <w:t>采取相应</w:t>
            </w:r>
            <w:r>
              <w:rPr>
                <w:rFonts w:hint="eastAsia" w:eastAsia="仿宋"/>
                <w:color w:val="0D0D0D" w:themeColor="text1" w:themeTint="F2"/>
                <w:kern w:val="0"/>
                <w:szCs w:val="21"/>
                <w14:textFill>
                  <w14:solidFill>
                    <w14:schemeClr w14:val="tx1">
                      <w14:lumMod w14:val="95000"/>
                      <w14:lumOff w14:val="5000"/>
                    </w14:schemeClr>
                  </w14:solidFill>
                </w14:textFill>
              </w:rPr>
              <w:t>防护</w:t>
            </w:r>
            <w:r>
              <w:rPr>
                <w:rFonts w:eastAsia="仿宋"/>
                <w:color w:val="0D0D0D" w:themeColor="text1" w:themeTint="F2"/>
                <w:kern w:val="0"/>
                <w:szCs w:val="21"/>
                <w14:textFill>
                  <w14:solidFill>
                    <w14:schemeClr w14:val="tx1">
                      <w14:lumMod w14:val="95000"/>
                      <w14:lumOff w14:val="5000"/>
                    </w14:schemeClr>
                  </w14:solidFill>
                </w14:textFill>
              </w:rPr>
              <w:t>措施后方能恢复实验</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4.4</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4.4.1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学校有定期/不定期</w:t>
            </w:r>
            <w:r>
              <w:rPr>
                <w:rFonts w:eastAsia="仿宋"/>
                <w:bCs/>
                <w:color w:val="0D0D0D" w:themeColor="text1" w:themeTint="F2"/>
                <w:kern w:val="0"/>
                <w:szCs w:val="21"/>
                <w14:textFill>
                  <w14:solidFill>
                    <w14:schemeClr w14:val="tx1">
                      <w14:lumMod w14:val="95000"/>
                      <w14:lumOff w14:val="5000"/>
                    </w14:schemeClr>
                  </w14:solidFill>
                </w14:textFill>
              </w:rPr>
              <w:t>的</w:t>
            </w:r>
            <w:r>
              <w:rPr>
                <w:rFonts w:eastAsia="仿宋"/>
                <w:color w:val="0D0D0D" w:themeColor="text1" w:themeTint="F2"/>
                <w:kern w:val="0"/>
                <w:szCs w:val="21"/>
                <w14:textFill>
                  <w14:solidFill>
                    <w14:schemeClr w14:val="tx1">
                      <w14:lumMod w14:val="95000"/>
                      <w14:lumOff w14:val="5000"/>
                    </w14:schemeClr>
                  </w14:solidFill>
                </w14:textFill>
              </w:rPr>
              <w:t>安全检查通报</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（42）</w:t>
            </w:r>
            <w:r>
              <w:rPr>
                <w:rFonts w:hint="eastAsia" w:eastAsia="仿宋"/>
                <w:bCs/>
                <w:color w:val="0D0D0D" w:themeColor="text1" w:themeTint="F2"/>
                <w:kern w:val="0"/>
                <w:szCs w:val="21"/>
                <w14:textFill>
                  <w14:solidFill>
                    <w14:schemeClr w14:val="tx1">
                      <w14:lumMod w14:val="95000"/>
                      <w14:lumOff w14:val="5000"/>
                    </w14:schemeClr>
                  </w14:solidFill>
                </w14:textFill>
              </w:rPr>
              <w:t>存有</w:t>
            </w:r>
            <w:r>
              <w:rPr>
                <w:rFonts w:eastAsia="仿宋"/>
                <w:bCs/>
                <w:color w:val="0D0D0D" w:themeColor="text1" w:themeTint="F2"/>
                <w:kern w:val="0"/>
                <w:szCs w:val="21"/>
                <w14:textFill>
                  <w14:solidFill>
                    <w14:schemeClr w14:val="tx1">
                      <w14:lumMod w14:val="95000"/>
                      <w14:lumOff w14:val="5000"/>
                    </w14:schemeClr>
                  </w14:solidFill>
                </w14:textFill>
              </w:rPr>
              <w:t>相关资料或电子文档</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4.4.2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院系有安全检查及整改记录</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（43）</w:t>
            </w:r>
            <w:r>
              <w:rPr>
                <w:rFonts w:hint="eastAsia" w:eastAsia="仿宋"/>
                <w:bCs/>
                <w:color w:val="0D0D0D" w:themeColor="text1" w:themeTint="F2"/>
                <w:kern w:val="0"/>
                <w:szCs w:val="21"/>
                <w14:textFill>
                  <w14:solidFill>
                    <w14:schemeClr w14:val="tx1">
                      <w14:lumMod w14:val="95000"/>
                      <w14:lumOff w14:val="5000"/>
                    </w14:schemeClr>
                  </w14:solidFill>
                </w14:textFill>
              </w:rPr>
              <w:t>存有</w:t>
            </w:r>
            <w:r>
              <w:rPr>
                <w:rFonts w:eastAsia="仿宋"/>
                <w:bCs/>
                <w:color w:val="0D0D0D" w:themeColor="text1" w:themeTint="F2"/>
                <w:kern w:val="0"/>
                <w:szCs w:val="21"/>
                <w14:textFill>
                  <w14:solidFill>
                    <w14:schemeClr w14:val="tx1">
                      <w14:lumMod w14:val="95000"/>
                      <w14:lumOff w14:val="5000"/>
                    </w14:schemeClr>
                  </w14:solidFill>
                </w14:textFill>
              </w:rPr>
              <w:t>相关资料或电子文档</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5</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5.1</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5.1.1</w:t>
            </w:r>
          </w:p>
        </w:tc>
        <w:tc>
          <w:tcPr>
            <w:tcW w:w="3820"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实验场所应张贴安全信息牌</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（44）每个房间门口挂有安全信息牌，信息包括：安全风险点的警示标识、安全责任人、涉及危险类别、防护措施和有效的应急联系电话等，并及时更新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5.1.2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实验场所应具备合理的安全空间布局</w:t>
            </w:r>
          </w:p>
        </w:tc>
        <w:tc>
          <w:tcPr>
            <w:tcW w:w="7660"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（45）超过200平方米的实验楼层具有至少两处紧急出口，75平方米以上实验室要有两个出入口；</w:t>
            </w:r>
          </w:p>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（46）实验楼大走廊保证留有大于1.5</w:t>
            </w:r>
            <w:r>
              <w:rPr>
                <w:rFonts w:hint="eastAsia" w:eastAsia="仿宋"/>
                <w:color w:val="0D0D0D" w:themeColor="text1" w:themeTint="F2"/>
                <w:szCs w:val="21"/>
                <w14:textFill>
                  <w14:solidFill>
                    <w14:schemeClr w14:val="tx1">
                      <w14:lumMod w14:val="95000"/>
                      <w14:lumOff w14:val="5000"/>
                    </w14:schemeClr>
                  </w14:solidFill>
                </w14:textFill>
              </w:rPr>
              <w:t>米</w:t>
            </w:r>
            <w:r>
              <w:rPr>
                <w:rFonts w:eastAsia="仿宋"/>
                <w:color w:val="0D0D0D" w:themeColor="text1" w:themeTint="F2"/>
                <w:szCs w:val="21"/>
                <w14:textFill>
                  <w14:solidFill>
                    <w14:schemeClr w14:val="tx1">
                      <w14:lumMod w14:val="95000"/>
                      <w14:lumOff w14:val="5000"/>
                    </w14:schemeClr>
                  </w14:solidFill>
                </w14:textFill>
              </w:rPr>
              <w:t>净宽的消防通道；</w:t>
            </w:r>
          </w:p>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（47）实验室操作区层高不低于2米；</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（48）理工农医类实验室内多人同时进行实验时，人均操作面积不小于2.5平方米</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5.1.3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szCs w:val="21"/>
                <w14:textFill>
                  <w14:solidFill>
                    <w14:schemeClr w14:val="tx1">
                      <w14:lumMod w14:val="95000"/>
                      <w14:lumOff w14:val="5000"/>
                    </w14:schemeClr>
                  </w14:solidFill>
                </w14:textFill>
              </w:rPr>
              <w:t>（49）保持消防通道通畅</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5.1.4</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实验室建设和装修应符合消防安全要求</w:t>
            </w:r>
          </w:p>
        </w:tc>
        <w:tc>
          <w:tcPr>
            <w:tcW w:w="7660"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（50）实验操作台应选用合格的防火、耐腐蚀材料；</w:t>
            </w:r>
          </w:p>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（51）仪器设备安装符合建筑物承重载荷；</w:t>
            </w:r>
          </w:p>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（52）有可燃气体的实验室不设吊顶；</w:t>
            </w:r>
          </w:p>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（53）不用的配电箱、插座、水管水龙头、网线、气体管路等，应及时拆除或封闭；</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（54）实验室门上有观察窗，外开门不阻挡逃生路径</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5.1.5</w:t>
            </w:r>
          </w:p>
        </w:tc>
        <w:tc>
          <w:tcPr>
            <w:tcW w:w="3820"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实验室所有房间均须配有应急备用钥匙</w:t>
            </w:r>
          </w:p>
        </w:tc>
        <w:tc>
          <w:tcPr>
            <w:tcW w:w="7660" w:type="dxa"/>
            <w:tcMar>
              <w:left w:w="45" w:type="dxa"/>
              <w:right w:w="45" w:type="dxa"/>
            </w:tcMar>
            <w:vAlign w:val="center"/>
          </w:tcPr>
          <w:p>
            <w:pPr>
              <w:widowControl/>
              <w:spacing w:line="300" w:lineRule="exact"/>
              <w:rPr>
                <w:rFonts w:eastAsia="仿宋"/>
                <w:bCs/>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（55）应急备用钥匙需集中存放、统一管理，应急时方便取用</w:t>
            </w:r>
          </w:p>
        </w:tc>
        <w:tc>
          <w:tcPr>
            <w:tcW w:w="2543" w:type="dxa"/>
            <w:tcMar>
              <w:left w:w="45" w:type="dxa"/>
              <w:right w:w="45" w:type="dxa"/>
            </w:tcMar>
            <w:vAlign w:val="center"/>
          </w:tcPr>
          <w:p>
            <w:pPr>
              <w:widowControl/>
              <w:spacing w:line="300" w:lineRule="exact"/>
              <w:rPr>
                <w:rFonts w:eastAsia="仿宋"/>
                <w:bCs/>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5.1.6</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实验设备需做好振动减震</w:t>
            </w:r>
            <w:r>
              <w:rPr>
                <w:rFonts w:hint="eastAsia" w:eastAsia="仿宋"/>
                <w:color w:val="0D0D0D" w:themeColor="text1" w:themeTint="F2"/>
                <w:szCs w:val="21"/>
                <w14:textFill>
                  <w14:solidFill>
                    <w14:schemeClr w14:val="tx1">
                      <w14:lumMod w14:val="95000"/>
                      <w14:lumOff w14:val="5000"/>
                    </w14:schemeClr>
                  </w14:solidFill>
                </w14:textFill>
              </w:rPr>
              <w:t>、电磁屏蔽</w:t>
            </w:r>
            <w:r>
              <w:rPr>
                <w:rFonts w:eastAsia="仿宋"/>
                <w:color w:val="0D0D0D" w:themeColor="text1" w:themeTint="F2"/>
                <w:szCs w:val="21"/>
                <w14:textFill>
                  <w14:solidFill>
                    <w14:schemeClr w14:val="tx1">
                      <w14:lumMod w14:val="95000"/>
                      <w14:lumOff w14:val="5000"/>
                    </w14:schemeClr>
                  </w14:solidFill>
                </w14:textFill>
              </w:rPr>
              <w:t>和噪音降噪</w:t>
            </w:r>
          </w:p>
        </w:tc>
        <w:tc>
          <w:tcPr>
            <w:tcW w:w="7660"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（56）容易产生振动的设备，需考虑建立合理的减震措施；</w:t>
            </w:r>
          </w:p>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（57）易对外产生磁场或易受磁场干扰的设备，需做好磁屏蔽；</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（58）实验室噪声一般不高于55分贝（机械设备不高于70分贝）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5.1.7</w:t>
            </w:r>
          </w:p>
        </w:tc>
        <w:tc>
          <w:tcPr>
            <w:tcW w:w="3820"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实验室水、电、气管线布局合理，安装施工规范</w:t>
            </w:r>
          </w:p>
        </w:tc>
        <w:tc>
          <w:tcPr>
            <w:tcW w:w="7660" w:type="dxa"/>
            <w:tcMar>
              <w:left w:w="45" w:type="dxa"/>
              <w:right w:w="45" w:type="dxa"/>
            </w:tcMar>
            <w:vAlign w:val="center"/>
          </w:tcPr>
          <w:p>
            <w:pPr>
              <w:spacing w:line="300" w:lineRule="exact"/>
              <w:rPr>
                <w:rFonts w:eastAsia="仿宋"/>
                <w:bCs/>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（59）采用管道供气的实验室，输气管道及阀门无漏气现象，并有明确标识</w:t>
            </w:r>
            <w:r>
              <w:rPr>
                <w:rFonts w:hint="eastAsia" w:eastAsia="仿宋"/>
                <w:bCs/>
                <w:color w:val="0D0D0D" w:themeColor="text1" w:themeTint="F2"/>
                <w:szCs w:val="21"/>
                <w14:textFill>
                  <w14:solidFill>
                    <w14:schemeClr w14:val="tx1">
                      <w14:lumMod w14:val="95000"/>
                      <w14:lumOff w14:val="5000"/>
                    </w14:schemeClr>
                  </w14:solidFill>
                </w14:textFill>
              </w:rPr>
              <w:t>。</w:t>
            </w:r>
            <w:r>
              <w:rPr>
                <w:rFonts w:eastAsia="仿宋"/>
                <w:bCs/>
                <w:color w:val="0D0D0D" w:themeColor="text1" w:themeTint="F2"/>
                <w:szCs w:val="21"/>
                <w14:textFill>
                  <w14:solidFill>
                    <w14:schemeClr w14:val="tx1">
                      <w14:lumMod w14:val="95000"/>
                      <w14:lumOff w14:val="5000"/>
                    </w14:schemeClr>
                  </w14:solidFill>
                </w14:textFill>
              </w:rPr>
              <w:t>供气管道有名称和气体流向标识，无破损；</w:t>
            </w:r>
          </w:p>
          <w:p>
            <w:pPr>
              <w:spacing w:line="300" w:lineRule="exact"/>
              <w:rPr>
                <w:rFonts w:eastAsia="仿宋"/>
                <w:bCs/>
                <w:color w:val="0D0D0D" w:themeColor="text1" w:themeTint="F2"/>
                <w:szCs w:val="21"/>
                <w14:textFill>
                  <w14:solidFill>
                    <w14:schemeClr w14:val="tx1">
                      <w14:lumMod w14:val="95000"/>
                      <w14:lumOff w14:val="5000"/>
                    </w14:schemeClr>
                  </w14:solidFill>
                </w14:textFill>
              </w:rPr>
            </w:pPr>
            <w:r>
              <w:rPr>
                <w:rFonts w:eastAsia="仿宋"/>
                <w:bCs/>
                <w:color w:val="0D0D0D" w:themeColor="text1" w:themeTint="F2"/>
                <w:szCs w:val="21"/>
                <w14:textFill>
                  <w14:solidFill>
                    <w14:schemeClr w14:val="tx1">
                      <w14:lumMod w14:val="95000"/>
                      <w14:lumOff w14:val="5000"/>
                    </w14:schemeClr>
                  </w14:solidFill>
                </w14:textFill>
              </w:rPr>
              <w:t>（60）</w:t>
            </w:r>
            <w:r>
              <w:rPr>
                <w:rFonts w:eastAsia="仿宋"/>
                <w:color w:val="0D0D0D" w:themeColor="text1" w:themeTint="F2"/>
                <w:szCs w:val="21"/>
                <w14:textFill>
                  <w14:solidFill>
                    <w14:schemeClr w14:val="tx1">
                      <w14:lumMod w14:val="95000"/>
                      <w14:lumOff w14:val="5000"/>
                    </w14:schemeClr>
                  </w14:solidFill>
                </w14:textFill>
              </w:rPr>
              <w:t>高温、明火设备放置位置与气体管道有安全间隔距离</w:t>
            </w:r>
          </w:p>
        </w:tc>
        <w:tc>
          <w:tcPr>
            <w:tcW w:w="2543" w:type="dxa"/>
            <w:tcMar>
              <w:left w:w="45" w:type="dxa"/>
              <w:right w:w="45" w:type="dxa"/>
            </w:tcMar>
            <w:vAlign w:val="center"/>
          </w:tcPr>
          <w:p>
            <w:pPr>
              <w:spacing w:line="300" w:lineRule="exact"/>
              <w:rPr>
                <w:rFonts w:eastAsia="仿宋"/>
                <w:bCs/>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5.2</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5.2.1</w:t>
            </w:r>
          </w:p>
        </w:tc>
        <w:tc>
          <w:tcPr>
            <w:tcW w:w="3820"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实验室分区应相对独立，布局合理</w:t>
            </w:r>
          </w:p>
        </w:tc>
        <w:tc>
          <w:tcPr>
            <w:tcW w:w="7660" w:type="dxa"/>
            <w:tcMar>
              <w:left w:w="45" w:type="dxa"/>
              <w:right w:w="45" w:type="dxa"/>
            </w:tcMar>
            <w:vAlign w:val="center"/>
          </w:tcPr>
          <w:p>
            <w:pPr>
              <w:spacing w:line="300" w:lineRule="exact"/>
              <w:rPr>
                <w:rFonts w:eastAsia="仿宋"/>
                <w:bCs/>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（61）有毒有害实验区与学习区明确分开，合理布局，重点关注化学、生物、辐射、激光等类别实验室</w:t>
            </w:r>
            <w:r>
              <w:rPr>
                <w:rFonts w:hint="eastAsia" w:eastAsia="仿宋"/>
                <w:color w:val="0D0D0D" w:themeColor="text1" w:themeTint="F2"/>
                <w:szCs w:val="21"/>
                <w14:textFill>
                  <w14:solidFill>
                    <w14:schemeClr w14:val="tx1">
                      <w14:lumMod w14:val="95000"/>
                      <w14:lumOff w14:val="5000"/>
                    </w14:schemeClr>
                  </w14:solidFill>
                </w14:textFill>
              </w:rPr>
              <w:t>。如部分区域分区不明显，现场查看</w:t>
            </w:r>
            <w:r>
              <w:rPr>
                <w:rFonts w:eastAsia="仿宋"/>
                <w:color w:val="0D0D0D" w:themeColor="text1" w:themeTint="F2"/>
                <w:szCs w:val="21"/>
                <w14:textFill>
                  <w14:solidFill>
                    <w14:schemeClr w14:val="tx1">
                      <w14:lumMod w14:val="95000"/>
                      <w14:lumOff w14:val="5000"/>
                    </w14:schemeClr>
                  </w14:solidFill>
                </w14:textFill>
              </w:rPr>
              <w:t>有毒有害</w:t>
            </w:r>
            <w:r>
              <w:rPr>
                <w:rFonts w:hint="eastAsia" w:eastAsia="仿宋"/>
                <w:color w:val="0D0D0D" w:themeColor="text1" w:themeTint="F2"/>
                <w:szCs w:val="21"/>
                <w14:textFill>
                  <w14:solidFill>
                    <w14:schemeClr w14:val="tx1">
                      <w14:lumMod w14:val="95000"/>
                      <w14:lumOff w14:val="5000"/>
                    </w14:schemeClr>
                  </w14:solidFill>
                </w14:textFill>
              </w:rPr>
              <w:t>物质的管理须对工作环境无健康危害</w:t>
            </w:r>
          </w:p>
        </w:tc>
        <w:tc>
          <w:tcPr>
            <w:tcW w:w="2543" w:type="dxa"/>
            <w:tcMar>
              <w:left w:w="45" w:type="dxa"/>
              <w:right w:w="45" w:type="dxa"/>
            </w:tcMar>
            <w:vAlign w:val="center"/>
          </w:tcPr>
          <w:p>
            <w:pPr>
              <w:spacing w:line="300" w:lineRule="exact"/>
              <w:rPr>
                <w:rFonts w:eastAsia="仿宋"/>
                <w:bCs/>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5.2.2</w:t>
            </w:r>
          </w:p>
        </w:tc>
        <w:tc>
          <w:tcPr>
            <w:tcW w:w="3820"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bCs/>
                <w:color w:val="0D0D0D" w:themeColor="text1" w:themeTint="F2"/>
                <w:szCs w:val="21"/>
                <w14:textFill>
                  <w14:solidFill>
                    <w14:schemeClr w14:val="tx1">
                      <w14:lumMod w14:val="95000"/>
                      <w14:lumOff w14:val="5000"/>
                    </w14:schemeClr>
                  </w14:solidFill>
                </w14:textFill>
              </w:rPr>
              <w:t>实验室环境应整洁卫生有序</w:t>
            </w:r>
          </w:p>
        </w:tc>
        <w:tc>
          <w:tcPr>
            <w:tcW w:w="7660"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（62）实验室物品摆放有序，卫生状况良好，实验完毕物品归位，无废弃物品、不放无关物品；</w:t>
            </w:r>
          </w:p>
          <w:p>
            <w:pPr>
              <w:spacing w:line="300" w:lineRule="exact"/>
              <w:rPr>
                <w:rFonts w:eastAsia="仿宋"/>
                <w:bCs/>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（63）</w:t>
            </w:r>
            <w:r>
              <w:rPr>
                <w:rFonts w:eastAsia="仿宋"/>
                <w:color w:val="0D0D0D" w:themeColor="text1" w:themeTint="F2"/>
                <w:kern w:val="0"/>
                <w:szCs w:val="21"/>
                <w14:textFill>
                  <w14:solidFill>
                    <w14:schemeClr w14:val="tx1">
                      <w14:lumMod w14:val="95000"/>
                      <w14:lumOff w14:val="5000"/>
                    </w14:schemeClr>
                  </w14:solidFill>
                </w14:textFill>
              </w:rPr>
              <w:t>不在实验室睡觉过夜，不存放和烧煮食物、饮食，禁止吸烟、不使用可燃性蚊香</w:t>
            </w:r>
          </w:p>
        </w:tc>
        <w:tc>
          <w:tcPr>
            <w:tcW w:w="2543" w:type="dxa"/>
            <w:tcMar>
              <w:left w:w="45" w:type="dxa"/>
              <w:right w:w="45" w:type="dxa"/>
            </w:tcMar>
            <w:vAlign w:val="center"/>
          </w:tcPr>
          <w:p>
            <w:pPr>
              <w:spacing w:line="300" w:lineRule="exact"/>
              <w:rPr>
                <w:rFonts w:eastAsia="仿宋"/>
                <w:bCs/>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5.2.3</w:t>
            </w:r>
          </w:p>
        </w:tc>
        <w:tc>
          <w:tcPr>
            <w:tcW w:w="3820"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实验室有卫生安全制度</w:t>
            </w:r>
          </w:p>
        </w:tc>
        <w:tc>
          <w:tcPr>
            <w:tcW w:w="7660" w:type="dxa"/>
            <w:tcMar>
              <w:left w:w="45" w:type="dxa"/>
              <w:right w:w="45" w:type="dxa"/>
            </w:tcMar>
            <w:vAlign w:val="center"/>
          </w:tcPr>
          <w:p>
            <w:pPr>
              <w:spacing w:line="300" w:lineRule="exact"/>
              <w:rPr>
                <w:rFonts w:eastAsia="仿宋"/>
                <w:bCs/>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（64）实验期间有记录</w:t>
            </w:r>
          </w:p>
        </w:tc>
        <w:tc>
          <w:tcPr>
            <w:tcW w:w="2543" w:type="dxa"/>
            <w:tcMar>
              <w:left w:w="45" w:type="dxa"/>
              <w:right w:w="45" w:type="dxa"/>
            </w:tcMar>
            <w:vAlign w:val="center"/>
          </w:tcPr>
          <w:p>
            <w:pPr>
              <w:spacing w:line="300" w:lineRule="exact"/>
              <w:rPr>
                <w:rFonts w:eastAsia="仿宋"/>
                <w:bCs/>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5.3</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5.3.1</w:t>
            </w:r>
          </w:p>
        </w:tc>
        <w:tc>
          <w:tcPr>
            <w:tcW w:w="3820"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14:textFill>
                  <w14:solidFill>
                    <w14:schemeClr w14:val="tx1">
                      <w14:lumMod w14:val="95000"/>
                      <w14:lumOff w14:val="5000"/>
                    </w14:schemeClr>
                  </w14:solidFill>
                </w14:textFill>
              </w:rPr>
              <w:t>每间实验室均有编号并登记造册</w:t>
            </w:r>
          </w:p>
        </w:tc>
        <w:tc>
          <w:tcPr>
            <w:tcW w:w="7660" w:type="dxa"/>
            <w:tcMar>
              <w:left w:w="45" w:type="dxa"/>
              <w:right w:w="45" w:type="dxa"/>
            </w:tcMar>
            <w:vAlign w:val="center"/>
          </w:tcPr>
          <w:p>
            <w:pPr>
              <w:spacing w:line="300" w:lineRule="exact"/>
              <w:rPr>
                <w:rFonts w:eastAsia="仿宋"/>
                <w:bCs/>
                <w:color w:val="0D0D0D" w:themeColor="text1" w:themeTint="F2"/>
                <w:szCs w:val="21"/>
                <w14:textFill>
                  <w14:solidFill>
                    <w14:schemeClr w14:val="tx1">
                      <w14:lumMod w14:val="95000"/>
                      <w14:lumOff w14:val="5000"/>
                    </w14:schemeClr>
                  </w14:solidFill>
                </w14:textFill>
              </w:rPr>
            </w:pPr>
            <w:r>
              <w:rPr>
                <w:rFonts w:eastAsia="仿宋"/>
                <w:bCs/>
                <w:color w:val="0D0D0D" w:themeColor="text1" w:themeTint="F2"/>
                <w:szCs w:val="21"/>
                <w14:textFill>
                  <w14:solidFill>
                    <w14:schemeClr w14:val="tx1">
                      <w14:lumMod w14:val="95000"/>
                      <w14:lumOff w14:val="5000"/>
                    </w14:schemeClr>
                  </w14:solidFill>
                </w14:textFill>
              </w:rPr>
              <w:t>（65）</w:t>
            </w:r>
            <w:r>
              <w:rPr>
                <w:rFonts w:hint="eastAsia" w:eastAsia="仿宋"/>
                <w:bCs/>
                <w:color w:val="0D0D0D" w:themeColor="text1" w:themeTint="F2"/>
                <w:szCs w:val="21"/>
                <w14:textFill>
                  <w14:solidFill>
                    <w14:schemeClr w14:val="tx1">
                      <w14:lumMod w14:val="95000"/>
                      <w14:lumOff w14:val="5000"/>
                    </w14:schemeClr>
                  </w14:solidFill>
                </w14:textFill>
              </w:rPr>
              <w:t>现场查看门牌，查阅档案</w:t>
            </w:r>
          </w:p>
        </w:tc>
        <w:tc>
          <w:tcPr>
            <w:tcW w:w="2543" w:type="dxa"/>
            <w:tcMar>
              <w:left w:w="45" w:type="dxa"/>
              <w:right w:w="45" w:type="dxa"/>
            </w:tcMar>
            <w:vAlign w:val="center"/>
          </w:tcPr>
          <w:p>
            <w:pPr>
              <w:spacing w:line="300" w:lineRule="exact"/>
              <w:rPr>
                <w:rFonts w:eastAsia="仿宋"/>
                <w:bCs/>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5.3.2</w:t>
            </w:r>
          </w:p>
        </w:tc>
        <w:tc>
          <w:tcPr>
            <w:tcW w:w="3820"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危险性实验室应配备急救物品</w:t>
            </w:r>
          </w:p>
        </w:tc>
        <w:tc>
          <w:tcPr>
            <w:tcW w:w="7660" w:type="dxa"/>
            <w:tcMar>
              <w:left w:w="45" w:type="dxa"/>
              <w:right w:w="45" w:type="dxa"/>
            </w:tcMar>
            <w:vAlign w:val="center"/>
          </w:tcPr>
          <w:p>
            <w:pPr>
              <w:spacing w:line="300" w:lineRule="exact"/>
              <w:rPr>
                <w:rFonts w:eastAsia="仿宋"/>
                <w:bCs/>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（66）配备的药箱</w:t>
            </w:r>
            <w:r>
              <w:rPr>
                <w:rFonts w:hint="eastAsia" w:eastAsia="仿宋"/>
                <w:color w:val="0D0D0D" w:themeColor="text1" w:themeTint="F2"/>
                <w:szCs w:val="21"/>
                <w14:textFill>
                  <w14:solidFill>
                    <w14:schemeClr w14:val="tx1">
                      <w14:lumMod w14:val="95000"/>
                      <w14:lumOff w14:val="5000"/>
                    </w14:schemeClr>
                  </w14:solidFill>
                </w14:textFill>
              </w:rPr>
              <w:t>不得</w:t>
            </w:r>
            <w:r>
              <w:rPr>
                <w:rFonts w:eastAsia="仿宋"/>
                <w:color w:val="0D0D0D" w:themeColor="text1" w:themeTint="F2"/>
                <w:szCs w:val="21"/>
                <w14:textFill>
                  <w14:solidFill>
                    <w14:schemeClr w14:val="tx1">
                      <w14:lumMod w14:val="95000"/>
                      <w14:lumOff w14:val="5000"/>
                    </w14:schemeClr>
                  </w14:solidFill>
                </w14:textFill>
              </w:rPr>
              <w:t>上锁，并定期检查药品是否在保质期内</w:t>
            </w:r>
          </w:p>
        </w:tc>
        <w:tc>
          <w:tcPr>
            <w:tcW w:w="2543" w:type="dxa"/>
            <w:tcMar>
              <w:left w:w="45" w:type="dxa"/>
              <w:right w:w="45" w:type="dxa"/>
            </w:tcMar>
            <w:vAlign w:val="center"/>
          </w:tcPr>
          <w:p>
            <w:pPr>
              <w:spacing w:line="300" w:lineRule="exact"/>
              <w:rPr>
                <w:rFonts w:eastAsia="仿宋"/>
                <w:bCs/>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5.3.3</w:t>
            </w:r>
          </w:p>
        </w:tc>
        <w:tc>
          <w:tcPr>
            <w:tcW w:w="3820"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停用的实验室有安全防范措施和明显标识</w:t>
            </w:r>
          </w:p>
        </w:tc>
        <w:tc>
          <w:tcPr>
            <w:tcW w:w="7660" w:type="dxa"/>
            <w:tcMar>
              <w:left w:w="45" w:type="dxa"/>
              <w:right w:w="45" w:type="dxa"/>
            </w:tcMar>
            <w:vAlign w:val="center"/>
          </w:tcPr>
          <w:p>
            <w:pPr>
              <w:spacing w:line="300" w:lineRule="exact"/>
              <w:rPr>
                <w:rFonts w:eastAsia="仿宋"/>
                <w:bCs/>
                <w:color w:val="0D0D0D" w:themeColor="text1" w:themeTint="F2"/>
                <w:szCs w:val="21"/>
                <w14:textFill>
                  <w14:solidFill>
                    <w14:schemeClr w14:val="tx1">
                      <w14:lumMod w14:val="95000"/>
                      <w14:lumOff w14:val="5000"/>
                    </w14:schemeClr>
                  </w14:solidFill>
                </w14:textFill>
              </w:rPr>
            </w:pPr>
            <w:r>
              <w:rPr>
                <w:rFonts w:eastAsia="仿宋"/>
                <w:bCs/>
                <w:color w:val="0D0D0D" w:themeColor="text1" w:themeTint="F2"/>
                <w:szCs w:val="21"/>
                <w14:textFill>
                  <w14:solidFill>
                    <w14:schemeClr w14:val="tx1">
                      <w14:lumMod w14:val="95000"/>
                      <w14:lumOff w14:val="5000"/>
                    </w14:schemeClr>
                  </w14:solidFill>
                </w14:textFill>
              </w:rPr>
              <w:t>（67）查看现场</w:t>
            </w:r>
          </w:p>
        </w:tc>
        <w:tc>
          <w:tcPr>
            <w:tcW w:w="2543" w:type="dxa"/>
            <w:tcMar>
              <w:left w:w="45" w:type="dxa"/>
              <w:right w:w="45" w:type="dxa"/>
            </w:tcMar>
            <w:vAlign w:val="center"/>
          </w:tcPr>
          <w:p>
            <w:pPr>
              <w:spacing w:line="300" w:lineRule="exact"/>
              <w:rPr>
                <w:rFonts w:eastAsia="仿宋"/>
                <w:bCs/>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6</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6.1</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6.1.1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（68）烟感报警器、灭火器、灭火毯、消防</w:t>
            </w:r>
            <w:r>
              <w:rPr>
                <w:rFonts w:hint="eastAsia" w:eastAsia="仿宋"/>
                <w:color w:val="0D0D0D" w:themeColor="text1" w:themeTint="F2"/>
                <w:kern w:val="0"/>
                <w:szCs w:val="21"/>
                <w14:textFill>
                  <w14:solidFill>
                    <w14:schemeClr w14:val="tx1">
                      <w14:lumMod w14:val="95000"/>
                      <w14:lumOff w14:val="5000"/>
                    </w14:schemeClr>
                  </w14:solidFill>
                </w14:textFill>
              </w:rPr>
              <w:t>砂</w:t>
            </w:r>
            <w:r>
              <w:rPr>
                <w:rFonts w:eastAsia="仿宋"/>
                <w:color w:val="0D0D0D" w:themeColor="text1" w:themeTint="F2"/>
                <w:kern w:val="0"/>
                <w:szCs w:val="21"/>
                <w14:textFill>
                  <w14:solidFill>
                    <w14:schemeClr w14:val="tx1">
                      <w14:lumMod w14:val="95000"/>
                      <w14:lumOff w14:val="5000"/>
                    </w14:schemeClr>
                  </w14:solidFill>
                </w14:textFill>
              </w:rPr>
              <w:t>、消防喷淋等，应正常有效、方便取用</w:t>
            </w:r>
            <w:r>
              <w:rPr>
                <w:rFonts w:hint="eastAsia" w:eastAsia="仿宋"/>
                <w:color w:val="0D0D0D" w:themeColor="text1" w:themeTint="F2"/>
                <w:kern w:val="0"/>
                <w:szCs w:val="21"/>
                <w14:textFill>
                  <w14:solidFill>
                    <w14:schemeClr w14:val="tx1">
                      <w14:lumMod w14:val="95000"/>
                      <w14:lumOff w14:val="5000"/>
                    </w14:schemeClr>
                  </w14:solidFill>
                </w14:textFill>
              </w:rPr>
              <w:t>；</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（6</w:t>
            </w:r>
            <w:r>
              <w:rPr>
                <w:rFonts w:eastAsia="仿宋"/>
                <w:color w:val="0D0D0D" w:themeColor="text1" w:themeTint="F2"/>
                <w:kern w:val="0"/>
                <w:szCs w:val="21"/>
                <w14:textFill>
                  <w14:solidFill>
                    <w14:schemeClr w14:val="tx1">
                      <w14:lumMod w14:val="95000"/>
                      <w14:lumOff w14:val="5000"/>
                    </w14:schemeClr>
                  </w14:solidFill>
                </w14:textFill>
              </w:rPr>
              <w:t>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灭火器种类配置正确</w:t>
            </w:r>
            <w:r>
              <w:rPr>
                <w:rFonts w:hint="eastAsia" w:eastAsia="仿宋"/>
                <w:color w:val="0D0D0D" w:themeColor="text1" w:themeTint="F2"/>
                <w:kern w:val="0"/>
                <w:szCs w:val="21"/>
                <w14:textFill>
                  <w14:solidFill>
                    <w14:schemeClr w14:val="tx1">
                      <w14:lumMod w14:val="95000"/>
                      <w14:lumOff w14:val="5000"/>
                    </w14:schemeClr>
                  </w14:solidFill>
                </w14:textFill>
              </w:rPr>
              <w:t>，且</w:t>
            </w:r>
            <w:r>
              <w:rPr>
                <w:rFonts w:eastAsia="仿宋"/>
                <w:color w:val="0D0D0D" w:themeColor="text1" w:themeTint="F2"/>
                <w:kern w:val="0"/>
                <w:szCs w:val="21"/>
                <w14:textFill>
                  <w14:solidFill>
                    <w14:schemeClr w14:val="tx1">
                      <w14:lumMod w14:val="95000"/>
                      <w14:lumOff w14:val="5000"/>
                    </w14:schemeClr>
                  </w14:solidFill>
                </w14:textFill>
              </w:rPr>
              <w:t>在有效期内（压力指针位置正常等），安全销（拉针）正常，瓶身无破损、腐蚀</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6.1.2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紧急逃生疏散路线通畅</w:t>
            </w:r>
          </w:p>
        </w:tc>
        <w:tc>
          <w:tcPr>
            <w:tcW w:w="7660" w:type="dxa"/>
            <w:tcMar>
              <w:left w:w="45" w:type="dxa"/>
              <w:right w:w="45" w:type="dxa"/>
            </w:tcMar>
            <w:vAlign w:val="center"/>
          </w:tcPr>
          <w:p>
            <w:pPr>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（70）在显著位置张贴有紧急逃生疏散路线图，疏散路线图的逃生路线应有二条（含）以上</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路线与现场情况符合；</w:t>
            </w:r>
          </w:p>
          <w:p>
            <w:pPr>
              <w:rPr>
                <w:rFonts w:eastAsia="仿宋"/>
                <w:color w:val="0D0D0D" w:themeColor="text1" w:themeTint="F2"/>
                <w:kern w:val="0"/>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（71）主要逃生路径（室内、楼梯、通道和出口处）有足够的紧急照明灯，功能正常</w:t>
            </w:r>
            <w:r>
              <w:rPr>
                <w:rFonts w:eastAsia="仿宋"/>
                <w:color w:val="0D0D0D" w:themeColor="text1" w:themeTint="F2"/>
                <w:kern w:val="0"/>
                <w14:textFill>
                  <w14:solidFill>
                    <w14:schemeClr w14:val="tx1">
                      <w14:lumMod w14:val="95000"/>
                      <w14:lumOff w14:val="5000"/>
                    </w14:schemeClr>
                  </w14:solidFill>
                </w14:textFill>
              </w:rPr>
              <w:t>，并设置有效标识指示逃生方向；</w:t>
            </w:r>
          </w:p>
          <w:p>
            <w:pPr>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14:textFill>
                  <w14:solidFill>
                    <w14:schemeClr w14:val="tx1">
                      <w14:lumMod w14:val="95000"/>
                      <w14:lumOff w14:val="5000"/>
                    </w14:schemeClr>
                  </w14:solidFill>
                </w14:textFill>
              </w:rPr>
              <w:t>（72）</w:t>
            </w:r>
            <w:r>
              <w:rPr>
                <w:rFonts w:eastAsia="仿宋"/>
                <w:color w:val="0D0D0D" w:themeColor="text1" w:themeTint="F2"/>
                <w:kern w:val="0"/>
                <w:szCs w:val="21"/>
                <w14:textFill>
                  <w14:solidFill>
                    <w14:schemeClr w14:val="tx1">
                      <w14:lumMod w14:val="95000"/>
                      <w14:lumOff w14:val="5000"/>
                    </w14:schemeClr>
                  </w14:solidFill>
                </w14:textFill>
              </w:rPr>
              <w:t>人员应熟悉紧急疏散路线及火场逃生注意事项</w:t>
            </w:r>
            <w:r>
              <w:rPr>
                <w:rFonts w:hint="eastAsia" w:eastAsia="仿宋"/>
                <w:color w:val="0D0D0D" w:themeColor="text1" w:themeTint="F2"/>
                <w:kern w:val="0"/>
                <w:szCs w:val="21"/>
                <w14:textFill>
                  <w14:solidFill>
                    <w14:schemeClr w14:val="tx1">
                      <w14:lumMod w14:val="95000"/>
                      <w14:lumOff w14:val="5000"/>
                    </w14:schemeClr>
                  </w14:solidFill>
                </w14:textFill>
              </w:rPr>
              <w:t>（现场调查人员熟悉程度）</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6.2</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6.2.1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存在燃烧和腐蚀风险的实验区域，需配置应急喷淋和洗眼装置</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（73）应急喷淋和洗眼装置的区域有显著标识</w:t>
            </w:r>
          </w:p>
        </w:tc>
        <w:tc>
          <w:tcPr>
            <w:tcW w:w="2543" w:type="dxa"/>
            <w:tcMar>
              <w:left w:w="45" w:type="dxa"/>
              <w:right w:w="45" w:type="dxa"/>
            </w:tcMar>
            <w:vAlign w:val="center"/>
          </w:tcPr>
          <w:p>
            <w:pPr>
              <w:spacing w:line="300" w:lineRule="exact"/>
              <w:rPr>
                <w:rFonts w:eastAsia="仿宋"/>
                <w:bCs/>
                <w:color w:val="0D0D0D" w:themeColor="text1" w:themeTint="F2"/>
                <w:kern w:val="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6.2.2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应急喷淋与洗眼装置安装合理，并能正常使用</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（74）应急喷淋安装地点与工作区域之间畅通，距离不超过30米</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应急喷淋安装位置合适，拉杆位置合适、方向正确</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应急喷淋装置水管总阀</w:t>
            </w:r>
            <w:r>
              <w:rPr>
                <w:rFonts w:hint="eastAsia" w:eastAsia="仿宋"/>
                <w:color w:val="0D0D0D" w:themeColor="text1" w:themeTint="F2"/>
                <w:kern w:val="0"/>
                <w:szCs w:val="21"/>
                <w14:textFill>
                  <w14:solidFill>
                    <w14:schemeClr w14:val="tx1">
                      <w14:lumMod w14:val="95000"/>
                      <w14:lumOff w14:val="5000"/>
                    </w14:schemeClr>
                  </w14:solidFill>
                </w14:textFill>
              </w:rPr>
              <w:t>为</w:t>
            </w:r>
            <w:r>
              <w:rPr>
                <w:rFonts w:eastAsia="仿宋"/>
                <w:color w:val="0D0D0D" w:themeColor="text1" w:themeTint="F2"/>
                <w:kern w:val="0"/>
                <w:szCs w:val="21"/>
                <w14:textFill>
                  <w14:solidFill>
                    <w14:schemeClr w14:val="tx1">
                      <w14:lumMod w14:val="95000"/>
                      <w14:lumOff w14:val="5000"/>
                    </w14:schemeClr>
                  </w14:solidFill>
                </w14:textFill>
              </w:rPr>
              <w:t>常开状，喷淋头下方无障碍物；</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（75）不能以普通淋浴装置代替应急喷淋装置；</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（76）洗眼装置接入生活用水管道，水量水压适中（喷出高度8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10厘米），</w:t>
            </w:r>
            <w:r>
              <w:rPr>
                <w:rFonts w:eastAsia="仿宋"/>
                <w:bCs/>
                <w:color w:val="0D0D0D" w:themeColor="text1" w:themeTint="F2"/>
                <w:kern w:val="0"/>
                <w:szCs w:val="21"/>
                <w14:textFill>
                  <w14:solidFill>
                    <w14:schemeClr w14:val="tx1">
                      <w14:lumMod w14:val="95000"/>
                      <w14:lumOff w14:val="5000"/>
                    </w14:schemeClr>
                  </w14:solidFill>
                </w14:textFill>
              </w:rPr>
              <w:t>水流畅通平稳</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6.2.3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定期对应急喷淋与洗眼装置进行维护</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（77）</w:t>
            </w:r>
            <w:r>
              <w:rPr>
                <w:rFonts w:hint="eastAsia" w:eastAsia="仿宋"/>
                <w:color w:val="0D0D0D" w:themeColor="text1" w:themeTint="F2"/>
                <w:kern w:val="0"/>
                <w:szCs w:val="21"/>
                <w14:textFill>
                  <w14:solidFill>
                    <w14:schemeClr w14:val="tx1">
                      <w14:lumMod w14:val="95000"/>
                      <w14:lumOff w14:val="5000"/>
                    </w14:schemeClr>
                  </w14:solidFill>
                </w14:textFill>
              </w:rPr>
              <w:t>经常</w:t>
            </w:r>
            <w:r>
              <w:rPr>
                <w:rFonts w:eastAsia="仿宋"/>
                <w:color w:val="0D0D0D" w:themeColor="text1" w:themeTint="F2"/>
                <w:kern w:val="0"/>
                <w:szCs w:val="21"/>
                <w14:textFill>
                  <w14:solidFill>
                    <w14:schemeClr w14:val="tx1">
                      <w14:lumMod w14:val="95000"/>
                      <w14:lumOff w14:val="5000"/>
                    </w14:schemeClr>
                  </w14:solidFill>
                </w14:textFill>
              </w:rPr>
              <w:t>擦拭洗眼喷头，</w:t>
            </w:r>
            <w:r>
              <w:rPr>
                <w:rFonts w:eastAsia="仿宋"/>
                <w:bCs/>
                <w:color w:val="0D0D0D" w:themeColor="text1" w:themeTint="F2"/>
                <w:kern w:val="0"/>
                <w:szCs w:val="21"/>
                <w14:textFill>
                  <w14:solidFill>
                    <w14:schemeClr w14:val="tx1">
                      <w14:lumMod w14:val="95000"/>
                      <w14:lumOff w14:val="5000"/>
                    </w14:schemeClr>
                  </w14:solidFill>
                </w14:textFill>
              </w:rPr>
              <w:t>无锈水脏水</w:t>
            </w: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有检查记录（每月启动一次阀门，时刻保证管内流水畅通）</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6.3</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6.3.1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（78）管道风机需防腐，使用可燃气体场所</w:t>
            </w:r>
            <w:r>
              <w:rPr>
                <w:rFonts w:hint="eastAsia" w:eastAsia="仿宋"/>
                <w:color w:val="0D0D0D" w:themeColor="text1" w:themeTint="F2"/>
                <w:kern w:val="0"/>
                <w:szCs w:val="21"/>
                <w14:textFill>
                  <w14:solidFill>
                    <w14:schemeClr w14:val="tx1">
                      <w14:lumMod w14:val="95000"/>
                      <w14:lumOff w14:val="5000"/>
                    </w14:schemeClr>
                  </w14:solidFill>
                </w14:textFill>
              </w:rPr>
              <w:t>宜</w:t>
            </w:r>
            <w:r>
              <w:rPr>
                <w:rFonts w:eastAsia="仿宋"/>
                <w:color w:val="0D0D0D" w:themeColor="text1" w:themeTint="F2"/>
                <w:kern w:val="0"/>
                <w:szCs w:val="21"/>
                <w14:textFill>
                  <w14:solidFill>
                    <w14:schemeClr w14:val="tx1">
                      <w14:lumMod w14:val="95000"/>
                      <w14:lumOff w14:val="5000"/>
                    </w14:schemeClr>
                  </w14:solidFill>
                </w14:textFill>
              </w:rPr>
              <w:t>采用防爆风机</w:t>
            </w:r>
            <w:r>
              <w:rPr>
                <w:rFonts w:eastAsia="仿宋"/>
                <w:bCs/>
                <w:color w:val="0D0D0D" w:themeColor="text1" w:themeTint="F2"/>
                <w:kern w:val="0"/>
                <w:szCs w:val="21"/>
                <w14:textFill>
                  <w14:solidFill>
                    <w14:schemeClr w14:val="tx1">
                      <w14:lumMod w14:val="95000"/>
                      <w14:lumOff w14:val="5000"/>
                    </w14:schemeClr>
                  </w14:solidFill>
                </w14:textFill>
              </w:rPr>
              <w:t>；</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（79）</w:t>
            </w:r>
            <w:r>
              <w:rPr>
                <w:rFonts w:eastAsia="仿宋"/>
                <w:color w:val="0D0D0D" w:themeColor="text1" w:themeTint="F2"/>
                <w:kern w:val="0"/>
                <w:szCs w:val="21"/>
                <w14:textFill>
                  <w14:solidFill>
                    <w14:schemeClr w14:val="tx1">
                      <w14:lumMod w14:val="95000"/>
                      <w14:lumOff w14:val="5000"/>
                    </w14:schemeClr>
                  </w14:solidFill>
                </w14:textFill>
              </w:rPr>
              <w:t>实验室通风系统运行正常，</w:t>
            </w:r>
            <w:r>
              <w:rPr>
                <w:rFonts w:eastAsia="仿宋"/>
                <w:color w:val="0D0D0D" w:themeColor="text1" w:themeTint="F2"/>
                <w:szCs w:val="21"/>
                <w14:textFill>
                  <w14:solidFill>
                    <w14:schemeClr w14:val="tx1">
                      <w14:lumMod w14:val="95000"/>
                      <w14:lumOff w14:val="5000"/>
                    </w14:schemeClr>
                  </w14:solidFill>
                </w14:textFill>
              </w:rPr>
              <w:t>柜口面</w:t>
            </w:r>
            <w:r>
              <w:rPr>
                <w:rFonts w:eastAsia="仿宋"/>
                <w:color w:val="0D0D0D" w:themeColor="text1" w:themeTint="F2"/>
                <w:kern w:val="0"/>
                <w:szCs w:val="21"/>
                <w14:textFill>
                  <w14:solidFill>
                    <w14:schemeClr w14:val="tx1">
                      <w14:lumMod w14:val="95000"/>
                      <w14:lumOff w14:val="5000"/>
                    </w14:schemeClr>
                  </w14:solidFill>
                </w14:textFill>
              </w:rPr>
              <w:t>风速0.35</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0.75米/秒，定期进行维护、检修；</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（80）屋顶风机固定无松动、无异常噪声</w:t>
            </w:r>
          </w:p>
        </w:tc>
        <w:tc>
          <w:tcPr>
            <w:tcW w:w="2543" w:type="dxa"/>
            <w:tcMar>
              <w:left w:w="45" w:type="dxa"/>
              <w:right w:w="45" w:type="dxa"/>
            </w:tcMar>
            <w:vAlign w:val="center"/>
          </w:tcPr>
          <w:p>
            <w:pPr>
              <w:spacing w:line="300" w:lineRule="exact"/>
              <w:rPr>
                <w:rFonts w:ascii="宋体" w:hAnsi="宋体"/>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0"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6.3.2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通风柜配置合理、使用正常、操作合规</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（81）实验室排出的有害物质浓度超过国家现行标准规定的允许排放标准时，应采取净化措施</w:t>
            </w:r>
            <w:r>
              <w:rPr>
                <w:rFonts w:hint="eastAsia" w:eastAsia="仿宋"/>
                <w:color w:val="0D0D0D" w:themeColor="text1" w:themeTint="F2"/>
                <w:kern w:val="0"/>
                <w:szCs w:val="21"/>
                <w14:textFill>
                  <w14:solidFill>
                    <w14:schemeClr w14:val="tx1">
                      <w14:lumMod w14:val="95000"/>
                      <w14:lumOff w14:val="5000"/>
                    </w14:schemeClr>
                  </w14:solidFill>
                </w14:textFill>
              </w:rPr>
              <w:t>，做到达标排放</w:t>
            </w:r>
            <w:r>
              <w:rPr>
                <w:rFonts w:eastAsia="仿宋"/>
                <w:color w:val="0D0D0D" w:themeColor="text1" w:themeTint="F2"/>
                <w:kern w:val="0"/>
                <w:szCs w:val="21"/>
                <w14:textFill>
                  <w14:solidFill>
                    <w14:schemeClr w14:val="tx1">
                      <w14:lumMod w14:val="95000"/>
                      <w14:lumOff w14:val="5000"/>
                    </w14:schemeClr>
                  </w14:solidFill>
                </w14:textFill>
              </w:rPr>
              <w:t>；</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（82）任何可能产生高浓度有害气体而导致个人曝露、或产生可燃、可爆炸气体或蒸汽而导致积聚的实验，都应在通风柜内进行；</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（83）进行实验时，通风柜可调玻璃视窗开至</w:t>
            </w:r>
            <w:r>
              <w:rPr>
                <w:rFonts w:hint="eastAsia" w:eastAsia="仿宋"/>
                <w:color w:val="0D0D0D" w:themeColor="text1" w:themeTint="F2"/>
                <w:kern w:val="0"/>
                <w:szCs w:val="21"/>
                <w14:textFill>
                  <w14:solidFill>
                    <w14:schemeClr w14:val="tx1">
                      <w14:lumMod w14:val="95000"/>
                      <w14:lumOff w14:val="5000"/>
                    </w14:schemeClr>
                  </w14:solidFill>
                </w14:textFill>
              </w:rPr>
              <w:t>离</w:t>
            </w:r>
            <w:r>
              <w:rPr>
                <w:rFonts w:eastAsia="仿宋"/>
                <w:color w:val="0D0D0D" w:themeColor="text1" w:themeTint="F2"/>
                <w:kern w:val="0"/>
                <w:szCs w:val="21"/>
                <w14:textFill>
                  <w14:solidFill>
                    <w14:schemeClr w14:val="tx1">
                      <w14:lumMod w14:val="95000"/>
                      <w14:lumOff w14:val="5000"/>
                    </w14:schemeClr>
                  </w14:solidFill>
                </w14:textFill>
              </w:rPr>
              <w:t>台面10-15厘米，保持通风效果，并保护操作人员胸部以上部位；</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（84）</w:t>
            </w:r>
            <w:r>
              <w:rPr>
                <w:rFonts w:eastAsia="仿宋"/>
                <w:color w:val="0D0D0D" w:themeColor="text1" w:themeTint="F2"/>
                <w:kern w:val="0"/>
                <w:szCs w:val="21"/>
                <w14:textFill>
                  <w14:solidFill>
                    <w14:schemeClr w14:val="tx1">
                      <w14:lumMod w14:val="95000"/>
                      <w14:lumOff w14:val="5000"/>
                    </w14:schemeClr>
                  </w14:solidFill>
                </w14:textFill>
              </w:rPr>
              <w:t>实验人员在通风柜进行实验时，避免将头伸入调节门内</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不可将一次性手套或较轻的塑料袋等留在通风柜内，以免堵塞排风口；</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（85）通风柜内放置物品应距离调节门内侧15厘米</w:t>
            </w:r>
            <w:r>
              <w:rPr>
                <w:rFonts w:hint="eastAsia" w:eastAsia="仿宋"/>
                <w:color w:val="0D0D0D" w:themeColor="text1" w:themeTint="F2"/>
                <w:kern w:val="0"/>
                <w:szCs w:val="21"/>
                <w14:textFill>
                  <w14:solidFill>
                    <w14:schemeClr w14:val="tx1">
                      <w14:lumMod w14:val="95000"/>
                      <w14:lumOff w14:val="5000"/>
                    </w14:schemeClr>
                  </w14:solidFill>
                </w14:textFill>
              </w:rPr>
              <w:t>以上</w:t>
            </w:r>
            <w:r>
              <w:rPr>
                <w:rFonts w:eastAsia="仿宋"/>
                <w:color w:val="0D0D0D" w:themeColor="text1" w:themeTint="F2"/>
                <w:kern w:val="0"/>
                <w:szCs w:val="21"/>
                <w14:textFill>
                  <w14:solidFill>
                    <w14:schemeClr w14:val="tx1">
                      <w14:lumMod w14:val="95000"/>
                      <w14:lumOff w14:val="5000"/>
                    </w14:schemeClr>
                  </w14:solidFill>
                </w14:textFill>
              </w:rPr>
              <w:t>，以免掉落</w:t>
            </w:r>
            <w:r>
              <w:rPr>
                <w:rFonts w:hint="eastAsia" w:eastAsia="仿宋"/>
                <w:color w:val="0D0D0D" w:themeColor="text1" w:themeTint="F2"/>
                <w:kern w:val="0"/>
                <w:szCs w:val="21"/>
                <w14:textFill>
                  <w14:solidFill>
                    <w14:schemeClr w14:val="tx1">
                      <w14:lumMod w14:val="95000"/>
                      <w14:lumOff w14:val="5000"/>
                    </w14:schemeClr>
                  </w14:solidFill>
                </w14:textFill>
              </w:rPr>
              <w:t>；</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（86）</w:t>
            </w:r>
            <w:r>
              <w:rPr>
                <w:rFonts w:eastAsia="仿宋"/>
                <w:bCs/>
                <w:color w:val="0D0D0D" w:themeColor="text1" w:themeTint="F2"/>
                <w:kern w:val="0"/>
                <w:szCs w:val="21"/>
                <w14:textFill>
                  <w14:solidFill>
                    <w14:schemeClr w14:val="tx1">
                      <w14:lumMod w14:val="95000"/>
                      <w14:lumOff w14:val="5000"/>
                    </w14:schemeClr>
                  </w14:solidFill>
                </w14:textFill>
              </w:rPr>
              <w:t>玻璃视窗材料应是钢化玻璃</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6.4</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6.4.1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重点场所需安装门禁和监控设施，并有专人管理</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（87）关注重点场所，如剧毒品、病原微生物、放射源存放点、核材料等危险源的管理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6.4.2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（88）监控不留死角，图像清晰，人员出入记录可查，视频记录存储时间</w:t>
            </w:r>
            <w:r>
              <w:rPr>
                <w:rFonts w:hint="eastAsia" w:eastAsia="仿宋"/>
                <w:color w:val="0D0D0D" w:themeColor="text1" w:themeTint="F2"/>
                <w:szCs w:val="21"/>
                <w14:textFill>
                  <w14:solidFill>
                    <w14:schemeClr w14:val="tx1">
                      <w14:lumMod w14:val="95000"/>
                      <w14:lumOff w14:val="5000"/>
                    </w14:schemeClr>
                  </w14:solidFill>
                </w14:textFill>
              </w:rPr>
              <w:t>不少于3</w:t>
            </w:r>
            <w:r>
              <w:rPr>
                <w:rFonts w:eastAsia="仿宋"/>
                <w:color w:val="0D0D0D" w:themeColor="text1" w:themeTint="F2"/>
                <w:szCs w:val="21"/>
                <w14:textFill>
                  <w14:solidFill>
                    <w14:schemeClr w14:val="tx1">
                      <w14:lumMod w14:val="95000"/>
                      <w14:lumOff w14:val="5000"/>
                    </w14:schemeClr>
                  </w14:solidFill>
                </w14:textFill>
              </w:rPr>
              <w:t>0</w:t>
            </w:r>
            <w:r>
              <w:rPr>
                <w:rFonts w:hint="eastAsia" w:eastAsia="仿宋"/>
                <w:color w:val="0D0D0D" w:themeColor="text1" w:themeTint="F2"/>
                <w:szCs w:val="21"/>
                <w14:textFill>
                  <w14:solidFill>
                    <w14:schemeClr w14:val="tx1">
                      <w14:lumMod w14:val="95000"/>
                      <w14:lumOff w14:val="5000"/>
                    </w14:schemeClr>
                  </w14:solidFill>
                </w14:textFill>
              </w:rPr>
              <w:t>天</w:t>
            </w:r>
            <w:r>
              <w:rPr>
                <w:rFonts w:eastAsia="仿宋"/>
                <w:color w:val="0D0D0D" w:themeColor="text1" w:themeTint="F2"/>
                <w:szCs w:val="21"/>
                <w14:textFill>
                  <w14:solidFill>
                    <w14:schemeClr w14:val="tx1">
                      <w14:lumMod w14:val="95000"/>
                      <w14:lumOff w14:val="5000"/>
                    </w14:schemeClr>
                  </w14:solidFill>
                </w14:textFill>
              </w:rPr>
              <w:t>；</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（89）停电时，电子门禁系统应是开启状态</w:t>
            </w:r>
            <w:r>
              <w:rPr>
                <w:rFonts w:hint="eastAsia" w:eastAsia="仿宋"/>
                <w:color w:val="0D0D0D" w:themeColor="text1" w:themeTint="F2"/>
                <w:szCs w:val="21"/>
                <w14:textFill>
                  <w14:solidFill>
                    <w14:schemeClr w14:val="tx1">
                      <w14:lumMod w14:val="95000"/>
                      <w14:lumOff w14:val="5000"/>
                    </w14:schemeClr>
                  </w14:solidFill>
                </w14:textFill>
              </w:rPr>
              <w:t>或者有备用机械钥匙</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6.5</w:t>
            </w:r>
          </w:p>
        </w:tc>
        <w:tc>
          <w:tcPr>
            <w:tcW w:w="14023" w:type="dxa"/>
            <w:gridSpan w:val="3"/>
            <w:tcMar>
              <w:left w:w="45" w:type="dxa"/>
              <w:right w:w="45" w:type="dxa"/>
            </w:tcMar>
            <w:vAlign w:val="center"/>
          </w:tcPr>
          <w:p>
            <w:pPr>
              <w:widowControl/>
              <w:spacing w:line="300" w:lineRule="exact"/>
              <w:rPr>
                <w:rFonts w:eastAsia="仿宋"/>
                <w:b/>
                <w:color w:val="0D0D0D" w:themeColor="text1" w:themeTint="F2"/>
                <w:szCs w:val="21"/>
                <w14:textFill>
                  <w14:solidFill>
                    <w14:schemeClr w14:val="tx1">
                      <w14:lumMod w14:val="95000"/>
                      <w14:lumOff w14:val="5000"/>
                    </w14:schemeClr>
                  </w14:solidFill>
                </w14:textFill>
              </w:rPr>
            </w:pPr>
            <w:r>
              <w:rPr>
                <w:rFonts w:eastAsia="仿宋"/>
                <w:b/>
                <w:color w:val="0D0D0D" w:themeColor="text1" w:themeTint="F2"/>
                <w:szCs w:val="21"/>
                <w14:textFill>
                  <w14:solidFill>
                    <w14:schemeClr w14:val="tx1">
                      <w14:lumMod w14:val="95000"/>
                      <w14:lumOff w14:val="5000"/>
                    </w14:schemeClr>
                  </w14:solidFill>
                </w14:textFill>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6.5.1</w:t>
            </w:r>
          </w:p>
        </w:tc>
        <w:tc>
          <w:tcPr>
            <w:tcW w:w="3820"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有防爆需求的实验室需符合防爆设计要求</w:t>
            </w:r>
          </w:p>
        </w:tc>
        <w:tc>
          <w:tcPr>
            <w:tcW w:w="7660"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（90）安装有防爆开关、防爆灯等，安装必要的气体报警系统、监控系统、应急系统等；</w:t>
            </w:r>
          </w:p>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（91）对于产生可燃气体或蒸汽的装置，应在其进、出口处安装阻火器；</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（92）室内应加强通风，防止爆炸物聚积</w:t>
            </w:r>
          </w:p>
        </w:tc>
        <w:tc>
          <w:tcPr>
            <w:tcW w:w="2543"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6.5.2</w:t>
            </w:r>
          </w:p>
        </w:tc>
        <w:tc>
          <w:tcPr>
            <w:tcW w:w="3820"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应妥善防护具有爆炸危险性的仪器设备</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（93）使用合适的安全罩防护</w:t>
            </w:r>
          </w:p>
        </w:tc>
        <w:tc>
          <w:tcPr>
            <w:tcW w:w="2543"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7</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7.1</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7.1.1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实验室用电安全应符合国家标准（导则）和行业标准</w:t>
            </w:r>
          </w:p>
        </w:tc>
        <w:tc>
          <w:tcPr>
            <w:tcW w:w="7660" w:type="dxa"/>
            <w:tcMar>
              <w:left w:w="45" w:type="dxa"/>
              <w:right w:w="45" w:type="dxa"/>
            </w:tcMar>
            <w:vAlign w:val="center"/>
          </w:tcPr>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94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实验室电容量、插头插座与用电设备功率需匹配，不得私自改装；</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95</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电源插座须有效固定；</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96</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电气设备应配备空气开关和漏电保护器；</w:t>
            </w:r>
          </w:p>
          <w:p>
            <w:pPr>
              <w:rPr>
                <w:rFonts w:eastAsia="仿宋"/>
                <w:color w:val="0D0D0D" w:themeColor="text1" w:themeTint="F2"/>
                <w:kern w:val="0"/>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97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不私自乱拉乱接电线电缆，禁止多个接线板串接供电，接线板不宜直接置于地面</w:t>
            </w:r>
            <w:r>
              <w:rPr>
                <w:rFonts w:hint="eastAsia" w:eastAsia="仿宋"/>
                <w:color w:val="0D0D0D" w:themeColor="text1" w:themeTint="F2"/>
                <w:kern w:val="0"/>
                <w14:textFill>
                  <w14:solidFill>
                    <w14:schemeClr w14:val="tx1">
                      <w14:lumMod w14:val="95000"/>
                      <w14:lumOff w14:val="5000"/>
                    </w14:schemeClr>
                  </w14:solidFill>
                </w14:textFill>
              </w:rPr>
              <w:t>；</w:t>
            </w:r>
          </w:p>
          <w:p>
            <w:pPr>
              <w:rPr>
                <w:rFonts w:eastAsia="仿宋"/>
                <w:color w:val="0D0D0D" w:themeColor="text1" w:themeTint="F2"/>
                <w:kern w:val="0"/>
                <w14:textFill>
                  <w14:solidFill>
                    <w14:schemeClr w14:val="tx1">
                      <w14:lumMod w14:val="95000"/>
                      <w14:lumOff w14:val="5000"/>
                    </w14:schemeClr>
                  </w14:solidFill>
                </w14:textFill>
              </w:rPr>
            </w:pP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98</w:t>
            </w:r>
            <w:r>
              <w:rPr>
                <w:rFonts w:hint="eastAsia" w:eastAsia="仿宋"/>
                <w:color w:val="0D0D0D" w:themeColor="text1" w:themeTint="F2"/>
                <w:kern w:val="0"/>
                <w14:textFill>
                  <w14:solidFill>
                    <w14:schemeClr w14:val="tx1">
                      <w14:lumMod w14:val="95000"/>
                      <w14:lumOff w14:val="5000"/>
                    </w14:schemeClr>
                  </w14:solidFill>
                </w14:textFill>
              </w:rPr>
              <w:t>）禁止使用老化的线缆、花线、木质配电板、有破损的接线板，电线接头绝缘可靠，无裸露连接线，穿越通道的线缆应有盖板或护套，不使用老国标接线板；</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99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大功率仪器（包括空调等）使用专用插座（不可使用接线板）</w:t>
            </w:r>
            <w:r>
              <w:rPr>
                <w:rFonts w:hint="eastAsia" w:eastAsia="仿宋"/>
                <w:color w:val="0D0D0D" w:themeColor="text1" w:themeTint="F2"/>
                <w:kern w:val="0"/>
                <w:szCs w:val="21"/>
                <w14:textFill>
                  <w14:solidFill>
                    <w14:schemeClr w14:val="tx1">
                      <w14:lumMod w14:val="95000"/>
                      <w14:lumOff w14:val="5000"/>
                    </w14:schemeClr>
                  </w14:solidFill>
                </w14:textFill>
              </w:rPr>
              <w:t>；</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100</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电器长期不用时，应切断电源；</w:t>
            </w:r>
          </w:p>
          <w:p>
            <w:pPr>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101</w:t>
            </w:r>
            <w:r>
              <w:rPr>
                <w:rFonts w:hint="eastAsia" w:eastAsia="仿宋"/>
                <w:color w:val="0D0D0D" w:themeColor="text1" w:themeTint="F2"/>
                <w:kern w:val="0"/>
                <w:szCs w:val="21"/>
                <w14:textFill>
                  <w14:solidFill>
                    <w14:schemeClr w14:val="tx1">
                      <w14:lumMod w14:val="95000"/>
                      <w14:lumOff w14:val="5000"/>
                    </w14:schemeClr>
                  </w14:solidFill>
                </w14:textFill>
              </w:rPr>
              <w:t>）配电箱前不应有物品遮挡并便于操作，周围不应放置烘箱、电炉、易燃易爆气瓶、废液桶等；</w:t>
            </w:r>
            <w:r>
              <w:rPr>
                <w:rFonts w:eastAsia="仿宋"/>
                <w:color w:val="0D0D0D" w:themeColor="text1" w:themeTint="F2"/>
                <w:kern w:val="0"/>
                <w:szCs w:val="21"/>
                <w14:textFill>
                  <w14:solidFill>
                    <w14:schemeClr w14:val="tx1">
                      <w14:lumMod w14:val="95000"/>
                      <w14:lumOff w14:val="5000"/>
                    </w14:schemeClr>
                  </w14:solidFill>
                </w14:textFill>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7.1.2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给水、排水系统布置合理，运行正常</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02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水槽、地漏及下水道畅通，水龙头、上下水管无破损；</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03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各类连接管无老化破损（特别是冷却冷凝系统的橡胶管接口处）；</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04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各楼层及实验室的各级水管总阀需有明显的标识</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7.2</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7.2.1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实验人员需配备合适的个人防护用品</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05</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进入实验室人员需穿着质地合适的实验服或防护服；</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06</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按需要佩戴防护眼镜、防护手套、安全帽、防护帽、呼吸器或面罩（呼吸器或面罩在有效期内，不用时须密封放置）等；</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07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进行化学、生物安全和高温实验时，不得佩戴隐形眼镜；</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08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操作机床等旋转设备时，不</w:t>
            </w:r>
            <w:r>
              <w:rPr>
                <w:rFonts w:hint="eastAsia" w:eastAsia="仿宋"/>
                <w:color w:val="0D0D0D" w:themeColor="text1" w:themeTint="F2"/>
                <w:kern w:val="0"/>
                <w:szCs w:val="21"/>
                <w14:textFill>
                  <w14:solidFill>
                    <w14:schemeClr w14:val="tx1">
                      <w14:lumMod w14:val="95000"/>
                      <w14:lumOff w14:val="5000"/>
                    </w14:schemeClr>
                  </w14:solidFill>
                </w14:textFill>
              </w:rPr>
              <w:t>得</w:t>
            </w:r>
            <w:r>
              <w:rPr>
                <w:rFonts w:eastAsia="仿宋"/>
                <w:color w:val="0D0D0D" w:themeColor="text1" w:themeTint="F2"/>
                <w:kern w:val="0"/>
                <w:szCs w:val="21"/>
                <w14:textFill>
                  <w14:solidFill>
                    <w14:schemeClr w14:val="tx1">
                      <w14:lumMod w14:val="95000"/>
                      <w14:lumOff w14:val="5000"/>
                    </w14:schemeClr>
                  </w14:solidFill>
                </w14:textFill>
              </w:rPr>
              <w:t>穿戴长围巾、丝巾、领带等</w:t>
            </w:r>
            <w:r>
              <w:rPr>
                <w:rFonts w:hint="eastAsia" w:eastAsia="仿宋"/>
                <w:color w:val="0D0D0D" w:themeColor="text1" w:themeTint="F2"/>
                <w:kern w:val="0"/>
                <w:szCs w:val="21"/>
                <w14:textFill>
                  <w14:solidFill>
                    <w14:schemeClr w14:val="tx1">
                      <w14:lumMod w14:val="95000"/>
                      <w14:lumOff w14:val="5000"/>
                    </w14:schemeClr>
                  </w14:solidFill>
                </w14:textFill>
              </w:rPr>
              <w:t>，长发需盘在工作帽内</w:t>
            </w:r>
            <w:r>
              <w:rPr>
                <w:rFonts w:eastAsia="仿宋"/>
                <w:color w:val="0D0D0D" w:themeColor="text1" w:themeTint="F2"/>
                <w:kern w:val="0"/>
                <w:szCs w:val="21"/>
                <w14:textFill>
                  <w14:solidFill>
                    <w14:schemeClr w14:val="tx1">
                      <w14:lumMod w14:val="95000"/>
                      <w14:lumOff w14:val="5000"/>
                    </w14:schemeClr>
                  </w14:solidFill>
                </w14:textFill>
              </w:rPr>
              <w:t>；</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09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穿着化学、生物类实验服或戴实验手套，不得随意进入非实验区</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7.2.2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个人防护用品分散存放，存放地点有明显标识</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10</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7.2.3</w:t>
            </w:r>
          </w:p>
        </w:tc>
        <w:tc>
          <w:tcPr>
            <w:tcW w:w="382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各类个人防护用品的使用有培训及定期检查维护记录</w:t>
            </w:r>
          </w:p>
        </w:tc>
        <w:tc>
          <w:tcPr>
            <w:tcW w:w="766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bCs/>
                <w:color w:val="0D0D0D" w:themeColor="text1" w:themeTint="F2"/>
                <w:kern w:val="0"/>
                <w:szCs w:val="21"/>
                <w14:textFill>
                  <w14:solidFill>
                    <w14:schemeClr w14:val="tx1">
                      <w14:lumMod w14:val="95000"/>
                      <w14:lumOff w14:val="5000"/>
                    </w14:schemeClr>
                  </w14:solidFill>
                </w14:textFill>
              </w:rPr>
              <w:t>（1</w:t>
            </w:r>
            <w:r>
              <w:rPr>
                <w:rFonts w:eastAsia="仿宋"/>
                <w:bCs/>
                <w:color w:val="0D0D0D" w:themeColor="text1" w:themeTint="F2"/>
                <w:kern w:val="0"/>
                <w:szCs w:val="21"/>
                <w14:textFill>
                  <w14:solidFill>
                    <w14:schemeClr w14:val="tx1">
                      <w14:lumMod w14:val="95000"/>
                      <w14:lumOff w14:val="5000"/>
                    </w14:schemeClr>
                  </w14:solidFill>
                </w14:textFill>
              </w:rPr>
              <w:t>11</w:t>
            </w: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检查培训及维护记录</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b/>
                <w:bCs/>
                <w:color w:val="0D0D0D" w:themeColor="text1" w:themeTint="F2"/>
                <w:kern w:val="0"/>
                <w:szCs w:val="21"/>
                <w14:textFill>
                  <w14:solidFill>
                    <w14:schemeClr w14:val="tx1">
                      <w14:lumMod w14:val="95000"/>
                      <w14:lumOff w14:val="5000"/>
                    </w14:schemeClr>
                  </w14:solidFill>
                </w14:textFill>
              </w:rPr>
              <w:t>7.3</w:t>
            </w:r>
          </w:p>
        </w:tc>
        <w:tc>
          <w:tcPr>
            <w:tcW w:w="14023" w:type="dxa"/>
            <w:gridSpan w:val="3"/>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7.3.1</w:t>
            </w:r>
          </w:p>
        </w:tc>
        <w:tc>
          <w:tcPr>
            <w:tcW w:w="382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危险性实验（如高温、高压、高速运转等）时必须有两人在场</w:t>
            </w:r>
          </w:p>
        </w:tc>
        <w:tc>
          <w:tcPr>
            <w:tcW w:w="766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12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7.3.2</w:t>
            </w:r>
          </w:p>
        </w:tc>
        <w:tc>
          <w:tcPr>
            <w:tcW w:w="382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实验台面整洁、实验记录规范</w:t>
            </w:r>
          </w:p>
        </w:tc>
        <w:tc>
          <w:tcPr>
            <w:tcW w:w="766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113</w:t>
            </w: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查看实验台面和实验记录</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8</w:t>
            </w:r>
          </w:p>
        </w:tc>
        <w:tc>
          <w:tcPr>
            <w:tcW w:w="14023" w:type="dxa"/>
            <w:gridSpan w:val="3"/>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8.1</w:t>
            </w:r>
          </w:p>
        </w:tc>
        <w:tc>
          <w:tcPr>
            <w:tcW w:w="14023" w:type="dxa"/>
            <w:gridSpan w:val="3"/>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b/>
                <w:bCs/>
                <w:color w:val="0D0D0D" w:themeColor="text1" w:themeTint="F2"/>
                <w:kern w:val="0"/>
                <w:szCs w:val="21"/>
                <w14:textFill>
                  <w14:solidFill>
                    <w14:schemeClr w14:val="tx1">
                      <w14:lumMod w14:val="95000"/>
                      <w14:lumOff w14:val="5000"/>
                    </w14:schemeClr>
                  </w14:solidFill>
                </w14:textFill>
              </w:rPr>
            </w:pPr>
            <w:r>
              <w:rPr>
                <w:rFonts w:eastAsia="仿宋"/>
                <w:b/>
                <w:bCs/>
                <w:color w:val="0D0D0D" w:themeColor="text1" w:themeTint="F2"/>
                <w:kern w:val="0"/>
                <w:szCs w:val="21"/>
                <w14:textFill>
                  <w14:solidFill>
                    <w14:schemeClr w14:val="tx1">
                      <w14:lumMod w14:val="95000"/>
                      <w14:lumOff w14:val="5000"/>
                    </w14:schemeClr>
                  </w14:solidFill>
                </w14:textFill>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8.1.1</w:t>
            </w:r>
          </w:p>
        </w:tc>
        <w:tc>
          <w:tcPr>
            <w:tcW w:w="3820" w:type="dxa"/>
            <w:tcMar>
              <w:left w:w="45" w:type="dxa"/>
              <w:right w:w="45"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危险化学品采购需要符合要求</w:t>
            </w:r>
          </w:p>
        </w:tc>
        <w:tc>
          <w:tcPr>
            <w:tcW w:w="7660" w:type="dxa"/>
            <w:tcMar>
              <w:left w:w="45" w:type="dxa"/>
              <w:right w:w="4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114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危险化学品</w:t>
            </w:r>
            <w:r>
              <w:rPr>
                <w:rFonts w:hint="eastAsia" w:eastAsia="仿宋"/>
                <w:color w:val="0D0D0D" w:themeColor="text1" w:themeTint="F2"/>
                <w:kern w:val="0"/>
                <w:szCs w:val="21"/>
                <w14:textFill>
                  <w14:solidFill>
                    <w14:schemeClr w14:val="tx1">
                      <w14:lumMod w14:val="95000"/>
                      <w14:lumOff w14:val="5000"/>
                    </w14:schemeClr>
                  </w14:solidFill>
                </w14:textFill>
              </w:rPr>
              <w:t>须</w:t>
            </w:r>
            <w:r>
              <w:rPr>
                <w:rFonts w:eastAsia="仿宋"/>
                <w:color w:val="0D0D0D" w:themeColor="text1" w:themeTint="F2"/>
                <w:kern w:val="0"/>
                <w:szCs w:val="21"/>
                <w14:textFill>
                  <w14:solidFill>
                    <w14:schemeClr w14:val="tx1">
                      <w14:lumMod w14:val="95000"/>
                      <w14:lumOff w14:val="5000"/>
                    </w14:schemeClr>
                  </w14:solidFill>
                </w14:textFill>
              </w:rPr>
              <w:t>向具有生产经营许可资质的单位进行购买，查看相关供应商的经营许可资质证书复印件</w:t>
            </w:r>
          </w:p>
        </w:tc>
        <w:tc>
          <w:tcPr>
            <w:tcW w:w="2543" w:type="dxa"/>
            <w:tcMar>
              <w:left w:w="45" w:type="dxa"/>
              <w:right w:w="45" w:type="dxa"/>
            </w:tcMar>
            <w:vAlign w:val="center"/>
          </w:tcPr>
          <w:p>
            <w:pPr>
              <w:spacing w:line="360" w:lineRule="auto"/>
              <w:rPr>
                <w:rFonts w:eastAsia="仿宋"/>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8.1.2</w:t>
            </w:r>
          </w:p>
        </w:tc>
        <w:tc>
          <w:tcPr>
            <w:tcW w:w="3820" w:type="dxa"/>
            <w:tcMar>
              <w:left w:w="45" w:type="dxa"/>
              <w:right w:w="45"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剧毒品、易制毒品、易制爆品、爆炸品的购买程序合规</w:t>
            </w:r>
          </w:p>
        </w:tc>
        <w:tc>
          <w:tcPr>
            <w:tcW w:w="7660" w:type="dxa"/>
            <w:tcMar>
              <w:left w:w="45" w:type="dxa"/>
              <w:right w:w="4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115</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购买前须经学校审批，报公安部门批准或备案后，向具有经营许可资质的单位购买</w:t>
            </w:r>
            <w:r>
              <w:rPr>
                <w:rFonts w:hint="eastAsia" w:eastAsia="仿宋"/>
                <w:color w:val="0D0D0D" w:themeColor="text1" w:themeTint="F2"/>
                <w:kern w:val="0"/>
                <w:szCs w:val="21"/>
                <w14:textFill>
                  <w14:solidFill>
                    <w14:schemeClr w14:val="tx1">
                      <w14:lumMod w14:val="95000"/>
                      <w14:lumOff w14:val="5000"/>
                    </w14:schemeClr>
                  </w14:solidFill>
                </w14:textFill>
              </w:rPr>
              <w:t>，并保留报批及审批记录；</w:t>
            </w:r>
          </w:p>
          <w:p>
            <w:pPr>
              <w:keepNext w:val="0"/>
              <w:keepLines w:val="0"/>
              <w:pageBreakBefore w:val="0"/>
              <w:kinsoku/>
              <w:wordWrap/>
              <w:overflowPunct/>
              <w:topLinePunct w:val="0"/>
              <w:autoSpaceDE/>
              <w:autoSpaceDN/>
              <w:bidi w:val="0"/>
              <w:adjustRightInd/>
              <w:snapToGrid/>
              <w:spacing w:line="30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16</w:t>
            </w:r>
            <w:r>
              <w:rPr>
                <w:rFonts w:hint="eastAsia" w:eastAsia="仿宋"/>
                <w:color w:val="0D0D0D" w:themeColor="text1" w:themeTint="F2"/>
                <w:kern w:val="0"/>
                <w:szCs w:val="21"/>
                <w14:textFill>
                  <w14:solidFill>
                    <w14:schemeClr w14:val="tx1">
                      <w14:lumMod w14:val="95000"/>
                      <w14:lumOff w14:val="5000"/>
                    </w14:schemeClr>
                  </w14:solidFill>
                </w14:textFill>
              </w:rPr>
              <w:t>）建立购买、验收、使用等台账</w:t>
            </w:r>
            <w:r>
              <w:rPr>
                <w:rFonts w:eastAsia="仿宋"/>
                <w:color w:val="0D0D0D" w:themeColor="text1" w:themeTint="F2"/>
                <w:kern w:val="0"/>
                <w:szCs w:val="21"/>
                <w14:textFill>
                  <w14:solidFill>
                    <w14:schemeClr w14:val="tx1">
                      <w14:lumMod w14:val="95000"/>
                      <w14:lumOff w14:val="5000"/>
                    </w14:schemeClr>
                  </w14:solidFill>
                </w14:textFill>
              </w:rPr>
              <w:t>资料；</w:t>
            </w:r>
          </w:p>
          <w:p>
            <w:pPr>
              <w:keepNext w:val="0"/>
              <w:keepLines w:val="0"/>
              <w:pageBreakBefore w:val="0"/>
              <w:kinsoku/>
              <w:wordWrap/>
              <w:overflowPunct/>
              <w:topLinePunct w:val="0"/>
              <w:autoSpaceDE/>
              <w:autoSpaceDN/>
              <w:bidi w:val="0"/>
              <w:adjustRightInd/>
              <w:snapToGrid/>
              <w:spacing w:line="300" w:lineRule="exact"/>
              <w:textAlignment w:val="auto"/>
              <w:rPr>
                <w:rFonts w:eastAsia="仿宋"/>
                <w:b/>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117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不得私自从外单位获取</w:t>
            </w:r>
            <w:r>
              <w:rPr>
                <w:rFonts w:hint="eastAsia" w:eastAsia="仿宋"/>
                <w:color w:val="0D0D0D" w:themeColor="text1" w:themeTint="F2"/>
                <w:kern w:val="0"/>
                <w:szCs w:val="21"/>
                <w14:textFill>
                  <w14:solidFill>
                    <w14:schemeClr w14:val="tx1">
                      <w14:lumMod w14:val="95000"/>
                      <w14:lumOff w14:val="5000"/>
                    </w14:schemeClr>
                  </w14:solidFill>
                </w14:textFill>
              </w:rPr>
              <w:t>管制化学品</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8.1.3</w:t>
            </w:r>
          </w:p>
        </w:tc>
        <w:tc>
          <w:tcPr>
            <w:tcW w:w="3820" w:type="dxa"/>
            <w:tcMar>
              <w:left w:w="45" w:type="dxa"/>
              <w:right w:w="45"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麻醉药品、精神药品等购买前须向食品药品监督管理部门申请</w:t>
            </w:r>
          </w:p>
        </w:tc>
        <w:tc>
          <w:tcPr>
            <w:tcW w:w="7660" w:type="dxa"/>
            <w:tcMar>
              <w:left w:w="45" w:type="dxa"/>
              <w:right w:w="4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仿宋"/>
                <w:b/>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18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8.1.4</w:t>
            </w:r>
          </w:p>
        </w:tc>
        <w:tc>
          <w:tcPr>
            <w:tcW w:w="3820" w:type="dxa"/>
            <w:tcMar>
              <w:left w:w="45" w:type="dxa"/>
              <w:right w:w="45"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保障化学品、气体运输安全</w:t>
            </w:r>
          </w:p>
        </w:tc>
        <w:tc>
          <w:tcPr>
            <w:tcW w:w="766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19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现场抽查</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8.2</w:t>
            </w:r>
          </w:p>
        </w:tc>
        <w:tc>
          <w:tcPr>
            <w:tcW w:w="14023" w:type="dxa"/>
            <w:gridSpan w:val="3"/>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8.2.1</w:t>
            </w:r>
          </w:p>
        </w:tc>
        <w:tc>
          <w:tcPr>
            <w:tcW w:w="382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仿宋"/>
                <w:b/>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实验室内危险化学品建有动态台账</w:t>
            </w:r>
          </w:p>
        </w:tc>
        <w:tc>
          <w:tcPr>
            <w:tcW w:w="766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20</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建立实验室危险化学品</w:t>
            </w:r>
            <w:r>
              <w:rPr>
                <w:rFonts w:hint="eastAsia" w:eastAsia="仿宋"/>
                <w:color w:val="0D0D0D" w:themeColor="text1" w:themeTint="F2"/>
                <w:kern w:val="0"/>
                <w:szCs w:val="21"/>
                <w14:textFill>
                  <w14:solidFill>
                    <w14:schemeClr w14:val="tx1">
                      <w14:lumMod w14:val="95000"/>
                      <w14:lumOff w14:val="5000"/>
                    </w14:schemeClr>
                  </w14:solidFill>
                </w14:textFill>
              </w:rPr>
              <w:t>动态台账</w:t>
            </w:r>
            <w:r>
              <w:rPr>
                <w:rFonts w:eastAsia="仿宋"/>
                <w:color w:val="0D0D0D" w:themeColor="text1" w:themeTint="F2"/>
                <w:kern w:val="0"/>
                <w:szCs w:val="21"/>
                <w14:textFill>
                  <w14:solidFill>
                    <w14:schemeClr w14:val="tx1">
                      <w14:lumMod w14:val="95000"/>
                      <w14:lumOff w14:val="5000"/>
                    </w14:schemeClr>
                  </w14:solidFill>
                </w14:textFill>
              </w:rPr>
              <w:t>，并有危险化学品安全技术说明书（MSDS）或安全周知卡，方便查阅；</w:t>
            </w:r>
          </w:p>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21</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定期清理</w:t>
            </w:r>
            <w:r>
              <w:rPr>
                <w:rFonts w:hint="eastAsia" w:eastAsia="仿宋"/>
                <w:color w:val="0D0D0D" w:themeColor="text1" w:themeTint="F2"/>
                <w:kern w:val="0"/>
                <w:szCs w:val="21"/>
                <w14:textFill>
                  <w14:solidFill>
                    <w14:schemeClr w14:val="tx1">
                      <w14:lumMod w14:val="95000"/>
                      <w14:lumOff w14:val="5000"/>
                    </w14:schemeClr>
                  </w14:solidFill>
                </w14:textFill>
              </w:rPr>
              <w:t>废旧试剂</w:t>
            </w:r>
            <w:r>
              <w:rPr>
                <w:rFonts w:eastAsia="仿宋"/>
                <w:color w:val="0D0D0D" w:themeColor="text1" w:themeTint="F2"/>
                <w:kern w:val="0"/>
                <w:szCs w:val="21"/>
                <w14:textFill>
                  <w14:solidFill>
                    <w14:schemeClr w14:val="tx1">
                      <w14:lumMod w14:val="95000"/>
                      <w14:lumOff w14:val="5000"/>
                    </w14:schemeClr>
                  </w14:solidFill>
                </w14:textFill>
              </w:rPr>
              <w:t>，无累积现象</w:t>
            </w:r>
          </w:p>
        </w:tc>
        <w:tc>
          <w:tcPr>
            <w:tcW w:w="2543" w:type="dxa"/>
            <w:tcMar>
              <w:left w:w="45" w:type="dxa"/>
              <w:right w:w="45" w:type="dxa"/>
            </w:tcMar>
            <w:vAlign w:val="center"/>
          </w:tcPr>
          <w:p>
            <w:pPr>
              <w:spacing w:line="360" w:lineRule="auto"/>
              <w:rPr>
                <w:rFonts w:eastAsia="仿宋"/>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8.2.2</w:t>
            </w:r>
          </w:p>
        </w:tc>
        <w:tc>
          <w:tcPr>
            <w:tcW w:w="382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化学品有专用存放空间并科学有序存放</w:t>
            </w:r>
          </w:p>
        </w:tc>
        <w:tc>
          <w:tcPr>
            <w:tcW w:w="766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color w:val="0D0D0D" w:themeColor="text1" w:themeTint="F2"/>
                <w:kern w:val="0"/>
                <w14:textFill>
                  <w14:solidFill>
                    <w14:schemeClr w14:val="tx1">
                      <w14:lumMod w14:val="95000"/>
                      <w14:lumOff w14:val="5000"/>
                    </w14:schemeClr>
                  </w14:solidFill>
                </w14:textFill>
              </w:rPr>
            </w:pPr>
            <w:r>
              <w:rPr>
                <w:rFonts w:hint="eastAsia" w:eastAsia="仿宋"/>
                <w:color w:val="0D0D0D" w:themeColor="text1" w:themeTint="F2"/>
                <w14:textFill>
                  <w14:solidFill>
                    <w14:schemeClr w14:val="tx1">
                      <w14:lumMod w14:val="95000"/>
                      <w14:lumOff w14:val="5000"/>
                    </w14:schemeClr>
                  </w14:solidFill>
                </w14:textFill>
              </w:rPr>
              <w:t>（1</w:t>
            </w:r>
            <w:r>
              <w:rPr>
                <w:rFonts w:eastAsia="仿宋"/>
                <w:color w:val="0D0D0D" w:themeColor="text1" w:themeTint="F2"/>
                <w14:textFill>
                  <w14:solidFill>
                    <w14:schemeClr w14:val="tx1">
                      <w14:lumMod w14:val="95000"/>
                      <w14:lumOff w14:val="5000"/>
                    </w14:schemeClr>
                  </w14:solidFill>
                </w14:textFill>
              </w:rPr>
              <w:t>22</w:t>
            </w:r>
            <w:r>
              <w:rPr>
                <w:rFonts w:hint="eastAsia" w:eastAsia="仿宋"/>
                <w:color w:val="0D0D0D" w:themeColor="text1" w:themeTint="F2"/>
                <w14:textFill>
                  <w14:solidFill>
                    <w14:schemeClr w14:val="tx1">
                      <w14:lumMod w14:val="95000"/>
                      <w14:lumOff w14:val="5000"/>
                    </w14:schemeClr>
                  </w14:solidFill>
                </w14:textFill>
              </w:rPr>
              <w:t>）</w:t>
            </w:r>
            <w:r>
              <w:rPr>
                <w:rFonts w:eastAsia="仿宋"/>
                <w:color w:val="0D0D0D" w:themeColor="text1" w:themeTint="F2"/>
                <w14:textFill>
                  <w14:solidFill>
                    <w14:schemeClr w14:val="tx1">
                      <w14:lumMod w14:val="95000"/>
                      <w14:lumOff w14:val="5000"/>
                    </w14:schemeClr>
                  </w14:solidFill>
                </w14:textFill>
              </w:rPr>
              <w:t>储藏室、储藏区、储存柜等</w:t>
            </w:r>
            <w:r>
              <w:rPr>
                <w:rFonts w:eastAsia="仿宋"/>
                <w:bCs/>
                <w:color w:val="0D0D0D" w:themeColor="text1" w:themeTint="F2"/>
                <w:kern w:val="0"/>
                <w14:textFill>
                  <w14:solidFill>
                    <w14:schemeClr w14:val="tx1">
                      <w14:lumMod w14:val="95000"/>
                      <w14:lumOff w14:val="5000"/>
                    </w14:schemeClr>
                  </w14:solidFill>
                </w14:textFill>
              </w:rPr>
              <w:t>应</w:t>
            </w:r>
            <w:r>
              <w:rPr>
                <w:rFonts w:eastAsia="仿宋"/>
                <w:color w:val="0D0D0D" w:themeColor="text1" w:themeTint="F2"/>
                <w:kern w:val="0"/>
                <w14:textFill>
                  <w14:solidFill>
                    <w14:schemeClr w14:val="tx1">
                      <w14:lumMod w14:val="95000"/>
                      <w14:lumOff w14:val="5000"/>
                    </w14:schemeClr>
                  </w14:solidFill>
                </w14:textFill>
              </w:rPr>
              <w:t>通风、隔热、避光、安全；</w:t>
            </w:r>
          </w:p>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color w:val="0D0D0D" w:themeColor="text1" w:themeTint="F2"/>
                <w:kern w:val="0"/>
                <w14:textFill>
                  <w14:solidFill>
                    <w14:schemeClr w14:val="tx1">
                      <w14:lumMod w14:val="95000"/>
                      <w14:lumOff w14:val="5000"/>
                    </w14:schemeClr>
                  </w14:solidFill>
                </w14:textFill>
              </w:rPr>
            </w:pPr>
            <w:r>
              <w:rPr>
                <w:rFonts w:hint="eastAsia" w:eastAsia="仿宋"/>
                <w:color w:val="0D0D0D" w:themeColor="text1" w:themeTint="F2"/>
                <w:kern w:val="0"/>
                <w14:textFill>
                  <w14:solidFill>
                    <w14:schemeClr w14:val="tx1">
                      <w14:lumMod w14:val="95000"/>
                      <w14:lumOff w14:val="5000"/>
                    </w14:schemeClr>
                  </w14:solidFill>
                </w14:textFill>
              </w:rPr>
              <w:t>（1</w:t>
            </w:r>
            <w:r>
              <w:rPr>
                <w:rFonts w:eastAsia="仿宋"/>
                <w:color w:val="0D0D0D" w:themeColor="text1" w:themeTint="F2"/>
                <w:kern w:val="0"/>
                <w14:textFill>
                  <w14:solidFill>
                    <w14:schemeClr w14:val="tx1">
                      <w14:lumMod w14:val="95000"/>
                      <w14:lumOff w14:val="5000"/>
                    </w14:schemeClr>
                  </w14:solidFill>
                </w14:textFill>
              </w:rPr>
              <w:t>23</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易泄漏、易挥发的试剂</w:t>
            </w:r>
            <w:r>
              <w:rPr>
                <w:rFonts w:hint="eastAsia" w:eastAsia="仿宋"/>
                <w:color w:val="0D0D0D" w:themeColor="text1" w:themeTint="F2"/>
                <w:kern w:val="0"/>
                <w14:textFill>
                  <w14:solidFill>
                    <w14:schemeClr w14:val="tx1">
                      <w14:lumMod w14:val="95000"/>
                      <w14:lumOff w14:val="5000"/>
                    </w14:schemeClr>
                  </w14:solidFill>
                </w14:textFill>
              </w:rPr>
              <w:t>存放设备与地点应</w:t>
            </w:r>
            <w:r>
              <w:rPr>
                <w:rFonts w:eastAsia="仿宋"/>
                <w:color w:val="0D0D0D" w:themeColor="text1" w:themeTint="F2"/>
                <w:kern w:val="0"/>
                <w14:textFill>
                  <w14:solidFill>
                    <w14:schemeClr w14:val="tx1">
                      <w14:lumMod w14:val="95000"/>
                      <w14:lumOff w14:val="5000"/>
                    </w14:schemeClr>
                  </w14:solidFill>
                </w14:textFill>
              </w:rPr>
              <w:t>保证充足的通风；</w:t>
            </w:r>
          </w:p>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color w:val="0D0D0D" w:themeColor="text1" w:themeTint="F2"/>
                <w:kern w:val="0"/>
                <w14:textFill>
                  <w14:solidFill>
                    <w14:schemeClr w14:val="tx1">
                      <w14:lumMod w14:val="95000"/>
                      <w14:lumOff w14:val="5000"/>
                    </w14:schemeClr>
                  </w14:solidFill>
                </w14:textFill>
              </w:rPr>
            </w:pPr>
            <w:r>
              <w:rPr>
                <w:rFonts w:hint="eastAsia" w:eastAsia="仿宋"/>
                <w:color w:val="0D0D0D" w:themeColor="text1" w:themeTint="F2"/>
                <w:kern w:val="0"/>
                <w14:textFill>
                  <w14:solidFill>
                    <w14:schemeClr w14:val="tx1">
                      <w14:lumMod w14:val="95000"/>
                      <w14:lumOff w14:val="5000"/>
                    </w14:schemeClr>
                  </w14:solidFill>
                </w14:textFill>
              </w:rPr>
              <w:t>（1</w:t>
            </w:r>
            <w:r>
              <w:rPr>
                <w:rFonts w:eastAsia="仿宋"/>
                <w:color w:val="0D0D0D" w:themeColor="text1" w:themeTint="F2"/>
                <w:kern w:val="0"/>
                <w14:textFill>
                  <w14:solidFill>
                    <w14:schemeClr w14:val="tx1">
                      <w14:lumMod w14:val="95000"/>
                      <w14:lumOff w14:val="5000"/>
                    </w14:schemeClr>
                  </w14:solidFill>
                </w14:textFill>
              </w:rPr>
              <w:t>24</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试剂柜中不能有电源插座或接线板；</w:t>
            </w:r>
          </w:p>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color w:val="0D0D0D" w:themeColor="text1" w:themeTint="F2"/>
                <w:kern w:val="0"/>
                <w14:textFill>
                  <w14:solidFill>
                    <w14:schemeClr w14:val="tx1">
                      <w14:lumMod w14:val="95000"/>
                      <w14:lumOff w14:val="5000"/>
                    </w14:schemeClr>
                  </w14:solidFill>
                </w14:textFill>
              </w:rPr>
            </w:pPr>
            <w:r>
              <w:rPr>
                <w:rFonts w:hint="eastAsia" w:eastAsia="仿宋"/>
                <w:color w:val="0D0D0D" w:themeColor="text1" w:themeTint="F2"/>
                <w:kern w:val="0"/>
                <w14:textFill>
                  <w14:solidFill>
                    <w14:schemeClr w14:val="tx1">
                      <w14:lumMod w14:val="95000"/>
                      <w14:lumOff w14:val="5000"/>
                    </w14:schemeClr>
                  </w14:solidFill>
                </w14:textFill>
              </w:rPr>
              <w:t>（1</w:t>
            </w:r>
            <w:r>
              <w:rPr>
                <w:rFonts w:eastAsia="仿宋"/>
                <w:color w:val="0D0D0D" w:themeColor="text1" w:themeTint="F2"/>
                <w:kern w:val="0"/>
                <w14:textFill>
                  <w14:solidFill>
                    <w14:schemeClr w14:val="tx1">
                      <w14:lumMod w14:val="95000"/>
                      <w14:lumOff w14:val="5000"/>
                    </w14:schemeClr>
                  </w14:solidFill>
                </w14:textFill>
              </w:rPr>
              <w:t>25</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化学品有序分类存放</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固体液体不混乱放置</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互为禁忌的化学品不得混放</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试剂不得叠放</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有机溶剂储存区应远离热源和火源</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装有试剂的试剂瓶不得开口放置</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实验台架无挡板不得存放化学试剂</w:t>
            </w:r>
            <w:r>
              <w:rPr>
                <w:rFonts w:hint="eastAsia" w:eastAsia="仿宋"/>
                <w:color w:val="0D0D0D" w:themeColor="text1" w:themeTint="F2"/>
                <w:kern w:val="0"/>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color w:val="0D0D0D" w:themeColor="text1" w:themeTint="F2"/>
                <w:kern w:val="0"/>
                <w14:textFill>
                  <w14:solidFill>
                    <w14:schemeClr w14:val="tx1">
                      <w14:lumMod w14:val="95000"/>
                      <w14:lumOff w14:val="5000"/>
                    </w14:schemeClr>
                  </w14:solidFill>
                </w14:textFill>
              </w:rPr>
            </w:pPr>
            <w:r>
              <w:rPr>
                <w:rFonts w:hint="eastAsia" w:eastAsia="仿宋"/>
                <w:color w:val="0D0D0D" w:themeColor="text1" w:themeTint="F2"/>
                <w:kern w:val="0"/>
                <w14:textFill>
                  <w14:solidFill>
                    <w14:schemeClr w14:val="tx1">
                      <w14:lumMod w14:val="95000"/>
                      <w14:lumOff w14:val="5000"/>
                    </w14:schemeClr>
                  </w14:solidFill>
                </w14:textFill>
              </w:rPr>
              <w:t>（1</w:t>
            </w:r>
            <w:r>
              <w:rPr>
                <w:rFonts w:eastAsia="仿宋"/>
                <w:color w:val="0D0D0D" w:themeColor="text1" w:themeTint="F2"/>
                <w:kern w:val="0"/>
                <w14:textFill>
                  <w14:solidFill>
                    <w14:schemeClr w14:val="tx1">
                      <w14:lumMod w14:val="95000"/>
                      <w14:lumOff w14:val="5000"/>
                    </w14:schemeClr>
                  </w14:solidFill>
                </w14:textFill>
              </w:rPr>
              <w:t>26</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配备必要的二次泄漏防护、吸附或防溢流功能</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8.2.3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实验室内存放的危险化学品总量符合规定要求</w:t>
            </w:r>
          </w:p>
        </w:tc>
        <w:tc>
          <w:tcPr>
            <w:tcW w:w="7660" w:type="dxa"/>
            <w:tcMar>
              <w:left w:w="45" w:type="dxa"/>
              <w:right w:w="45" w:type="dxa"/>
            </w:tcMar>
            <w:vAlign w:val="center"/>
          </w:tcPr>
          <w:p>
            <w:pPr>
              <w:rPr>
                <w:rFonts w:eastAsia="仿宋"/>
                <w:color w:val="0D0D0D" w:themeColor="text1" w:themeTint="F2"/>
                <w:kern w:val="0"/>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27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危险化学品（不含压缩气体和液化气体）原则上不应超过100公升或100千克，其中易燃易爆性化学品的存放总量不应超过50公升或50千克，且单一包装容器不应大于20公升或20千克</w:t>
            </w:r>
            <w:r>
              <w:rPr>
                <w:rFonts w:eastAsia="仿宋"/>
                <w:color w:val="0D0D0D" w:themeColor="text1" w:themeTint="F2"/>
                <w:kern w:val="0"/>
                <w14:textFill>
                  <w14:solidFill>
                    <w14:schemeClr w14:val="tx1">
                      <w14:lumMod w14:val="95000"/>
                      <w14:lumOff w14:val="5000"/>
                    </w14:schemeClr>
                  </w14:solidFill>
                </w14:textFill>
              </w:rPr>
              <w:t>（</w:t>
            </w:r>
            <w:r>
              <w:rPr>
                <w:rFonts w:eastAsia="仿宋"/>
                <w:bCs/>
                <w:color w:val="0D0D0D" w:themeColor="text1" w:themeTint="F2"/>
                <w:kern w:val="0"/>
                <w14:textFill>
                  <w14:solidFill>
                    <w14:schemeClr w14:val="tx1">
                      <w14:lumMod w14:val="95000"/>
                      <w14:lumOff w14:val="5000"/>
                    </w14:schemeClr>
                  </w14:solidFill>
                </w14:textFill>
              </w:rPr>
              <w:t>按</w:t>
            </w:r>
            <w:r>
              <w:rPr>
                <w:rFonts w:eastAsia="仿宋"/>
                <w:color w:val="0D0D0D" w:themeColor="text1" w:themeTint="F2"/>
                <w:kern w:val="0"/>
                <w14:textFill>
                  <w14:solidFill>
                    <w14:schemeClr w14:val="tx1">
                      <w14:lumMod w14:val="95000"/>
                      <w14:lumOff w14:val="5000"/>
                    </w14:schemeClr>
                  </w14:solidFill>
                </w14:textFill>
              </w:rPr>
              <w:t>50平方米</w:t>
            </w:r>
            <w:r>
              <w:rPr>
                <w:rFonts w:eastAsia="仿宋"/>
                <w:bCs/>
                <w:color w:val="0D0D0D" w:themeColor="text1" w:themeTint="F2"/>
                <w:kern w:val="0"/>
                <w14:textFill>
                  <w14:solidFill>
                    <w14:schemeClr w14:val="tx1">
                      <w14:lumMod w14:val="95000"/>
                      <w14:lumOff w14:val="5000"/>
                    </w14:schemeClr>
                  </w14:solidFill>
                </w14:textFill>
              </w:rPr>
              <w:t>为</w:t>
            </w:r>
            <w:r>
              <w:rPr>
                <w:rFonts w:eastAsia="仿宋"/>
                <w:color w:val="0D0D0D" w:themeColor="text1" w:themeTint="F2"/>
                <w:kern w:val="0"/>
                <w14:textFill>
                  <w14:solidFill>
                    <w14:schemeClr w14:val="tx1">
                      <w14:lumMod w14:val="95000"/>
                      <w14:lumOff w14:val="5000"/>
                    </w14:schemeClr>
                  </w14:solidFill>
                </w14:textFill>
              </w:rPr>
              <w:t>标准，存放量以</w:t>
            </w:r>
            <w:r>
              <w:rPr>
                <w:rFonts w:eastAsia="仿宋"/>
                <w:bCs/>
                <w:color w:val="0D0D0D" w:themeColor="text1" w:themeTint="F2"/>
                <w:kern w:val="0"/>
                <w14:textFill>
                  <w14:solidFill>
                    <w14:schemeClr w14:val="tx1">
                      <w14:lumMod w14:val="95000"/>
                      <w14:lumOff w14:val="5000"/>
                    </w14:schemeClr>
                  </w14:solidFill>
                </w14:textFill>
              </w:rPr>
              <w:t>实验室</w:t>
            </w:r>
            <w:r>
              <w:rPr>
                <w:rFonts w:eastAsia="仿宋"/>
                <w:color w:val="0D0D0D" w:themeColor="text1" w:themeTint="F2"/>
                <w:kern w:val="0"/>
                <w14:textFill>
                  <w14:solidFill>
                    <w14:schemeClr w14:val="tx1">
                      <w14:lumMod w14:val="95000"/>
                      <w14:lumOff w14:val="5000"/>
                    </w14:schemeClr>
                  </w14:solidFill>
                </w14:textFill>
              </w:rPr>
              <w:t>面积比</w:t>
            </w:r>
            <w:r>
              <w:rPr>
                <w:rFonts w:hint="eastAsia" w:eastAsia="仿宋"/>
                <w:color w:val="0D0D0D" w:themeColor="text1" w:themeTint="F2"/>
                <w:kern w:val="0"/>
                <w14:textFill>
                  <w14:solidFill>
                    <w14:schemeClr w14:val="tx1">
                      <w14:lumMod w14:val="95000"/>
                      <w14:lumOff w14:val="5000"/>
                    </w14:schemeClr>
                  </w14:solidFill>
                </w14:textFill>
              </w:rPr>
              <w:t>考量</w:t>
            </w:r>
            <w:r>
              <w:rPr>
                <w:rFonts w:eastAsia="仿宋"/>
                <w:color w:val="0D0D0D" w:themeColor="text1" w:themeTint="F2"/>
                <w:kern w:val="0"/>
                <w14:textFill>
                  <w14:solidFill>
                    <w14:schemeClr w14:val="tx1">
                      <w14:lumMod w14:val="95000"/>
                      <w14:lumOff w14:val="5000"/>
                    </w14:schemeClr>
                  </w14:solidFill>
                </w14:textFill>
              </w:rPr>
              <w:t>）；</w:t>
            </w:r>
          </w:p>
          <w:p>
            <w:pPr>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14:textFill>
                  <w14:solidFill>
                    <w14:schemeClr w14:val="tx1">
                      <w14:lumMod w14:val="95000"/>
                      <w14:lumOff w14:val="5000"/>
                    </w14:schemeClr>
                  </w14:solidFill>
                </w14:textFill>
              </w:rPr>
              <w:t>（1</w:t>
            </w:r>
            <w:r>
              <w:rPr>
                <w:rFonts w:eastAsia="仿宋"/>
                <w:color w:val="0D0D0D" w:themeColor="text1" w:themeTint="F2"/>
                <w:kern w:val="0"/>
                <w14:textFill>
                  <w14:solidFill>
                    <w14:schemeClr w14:val="tx1">
                      <w14:lumMod w14:val="95000"/>
                      <w14:lumOff w14:val="5000"/>
                    </w14:schemeClr>
                  </w14:solidFill>
                </w14:textFill>
              </w:rPr>
              <w:t>28</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单个实验装置存在10公升以上甲类物质储罐，或20公升以上乙类物质储罐，或50公升以上丙类物质储罐</w:t>
            </w:r>
            <w:r>
              <w:rPr>
                <w:rFonts w:hint="eastAsia" w:eastAsia="仿宋"/>
                <w:color w:val="0D0D0D" w:themeColor="text1" w:themeTint="F2"/>
                <w:kern w:val="0"/>
                <w:szCs w:val="21"/>
                <w14:textFill>
                  <w14:solidFill>
                    <w14:schemeClr w14:val="tx1">
                      <w14:lumMod w14:val="95000"/>
                      <w14:lumOff w14:val="5000"/>
                    </w14:schemeClr>
                  </w14:solidFill>
                </w14:textFill>
              </w:rPr>
              <w:t>时</w:t>
            </w:r>
            <w:r>
              <w:rPr>
                <w:rFonts w:eastAsia="仿宋"/>
                <w:color w:val="0D0D0D" w:themeColor="text1" w:themeTint="F2"/>
                <w:kern w:val="0"/>
                <w:szCs w:val="21"/>
                <w14:textFill>
                  <w14:solidFill>
                    <w14:schemeClr w14:val="tx1">
                      <w14:lumMod w14:val="95000"/>
                      <w14:lumOff w14:val="5000"/>
                    </w14:schemeClr>
                  </w14:solidFill>
                </w14:textFill>
              </w:rPr>
              <w:t>，需加装泄露报警器及通风联动装置</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8.2.4</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化学品标签应显著完整清晰</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29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化学品包装物上应有符合规定的化学品标签；</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30</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当化学品由原包装物转移或分装到其他包装物内时，转移或分装后的包装物应及时重新粘贴标识。化学品标签脱落、</w:t>
            </w:r>
            <w:r>
              <w:rPr>
                <w:rFonts w:eastAsia="仿宋"/>
                <w:bCs/>
                <w:color w:val="0D0D0D" w:themeColor="text1" w:themeTint="F2"/>
                <w:kern w:val="0"/>
                <w:szCs w:val="21"/>
                <w14:textFill>
                  <w14:solidFill>
                    <w14:schemeClr w14:val="tx1">
                      <w14:lumMod w14:val="95000"/>
                      <w14:lumOff w14:val="5000"/>
                    </w14:schemeClr>
                  </w14:solidFill>
                </w14:textFill>
              </w:rPr>
              <w:t>模糊、腐蚀</w:t>
            </w:r>
            <w:r>
              <w:rPr>
                <w:rFonts w:eastAsia="仿宋"/>
                <w:color w:val="0D0D0D" w:themeColor="text1" w:themeTint="F2"/>
                <w:kern w:val="0"/>
                <w:szCs w:val="21"/>
                <w14:textFill>
                  <w14:solidFill>
                    <w14:schemeClr w14:val="tx1">
                      <w14:lumMod w14:val="95000"/>
                      <w14:lumOff w14:val="5000"/>
                    </w14:schemeClr>
                  </w14:solidFill>
                </w14:textFill>
              </w:rPr>
              <w:t>后应及时补上，如不能确认，则以不明废弃化学品处置</w:t>
            </w:r>
          </w:p>
        </w:tc>
        <w:tc>
          <w:tcPr>
            <w:tcW w:w="2543" w:type="dxa"/>
            <w:tcMar>
              <w:left w:w="45" w:type="dxa"/>
              <w:right w:w="45" w:type="dxa"/>
            </w:tcMar>
            <w:vAlign w:val="center"/>
          </w:tcPr>
          <w:p>
            <w:pPr>
              <w:widowControl/>
              <w:spacing w:line="300" w:lineRule="exact"/>
              <w:rPr>
                <w:rFonts w:ascii="仿宋" w:hAnsi="仿宋"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8.3</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8.3.1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31</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指导书和预案上墙或便于取阅</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实验人员熟悉所涉及的危险性及应急处理措施</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按照指导书进行实验</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8.3.2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32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涉及危险化工工艺、重点监管危险化学品的反应装置应设置自动化控制系统；</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33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8.3.3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做好有毒有害废气的处理和防护</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34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对于产生有毒有害废气的实验，</w:t>
            </w:r>
            <w:r>
              <w:rPr>
                <w:rFonts w:hint="eastAsia" w:eastAsia="仿宋"/>
                <w:color w:val="0D0D0D" w:themeColor="text1" w:themeTint="F2"/>
                <w:kern w:val="0"/>
                <w:szCs w:val="21"/>
                <w14:textFill>
                  <w14:solidFill>
                    <w14:schemeClr w14:val="tx1">
                      <w14:lumMod w14:val="95000"/>
                      <w14:lumOff w14:val="5000"/>
                    </w14:schemeClr>
                  </w14:solidFill>
                </w14:textFill>
              </w:rPr>
              <w:t>须</w:t>
            </w:r>
            <w:r>
              <w:rPr>
                <w:rFonts w:eastAsia="仿宋"/>
                <w:color w:val="0D0D0D" w:themeColor="text1" w:themeTint="F2"/>
                <w:kern w:val="0"/>
                <w:szCs w:val="21"/>
                <w14:textFill>
                  <w14:solidFill>
                    <w14:schemeClr w14:val="tx1">
                      <w14:lumMod w14:val="95000"/>
                      <w14:lumOff w14:val="5000"/>
                    </w14:schemeClr>
                  </w14:solidFill>
                </w14:textFill>
              </w:rPr>
              <w:t>在通风柜中进行，并在实验装置尾端配有气体吸收装置</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配备合适有效的呼吸器</w:t>
            </w:r>
          </w:p>
        </w:tc>
        <w:tc>
          <w:tcPr>
            <w:tcW w:w="2543"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8.4</w:t>
            </w:r>
          </w:p>
        </w:tc>
        <w:tc>
          <w:tcPr>
            <w:tcW w:w="14023" w:type="dxa"/>
            <w:gridSpan w:val="3"/>
            <w:tcMar>
              <w:left w:w="45" w:type="dxa"/>
              <w:right w:w="45" w:type="dxa"/>
            </w:tcMar>
            <w:vAlign w:val="center"/>
          </w:tcPr>
          <w:p>
            <w:pPr>
              <w:spacing w:line="300" w:lineRule="exact"/>
              <w:rPr>
                <w:rFonts w:eastAsia="仿宋"/>
                <w:b/>
                <w:color w:val="0D0D0D" w:themeColor="text1" w:themeTint="F2"/>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8.4.1</w:t>
            </w:r>
          </w:p>
        </w:tc>
        <w:tc>
          <w:tcPr>
            <w:tcW w:w="3820" w:type="dxa"/>
            <w:tcMar>
              <w:left w:w="45" w:type="dxa"/>
              <w:right w:w="45" w:type="dxa"/>
            </w:tcMar>
            <w:vAlign w:val="center"/>
          </w:tcPr>
          <w:p>
            <w:pPr>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剧毒化学品执行</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五双</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管理</w:t>
            </w:r>
            <w:r>
              <w:rPr>
                <w:rFonts w:eastAsia="仿宋"/>
                <w:bCs/>
                <w:color w:val="0D0D0D" w:themeColor="text1" w:themeTint="F2"/>
                <w:kern w:val="0"/>
                <w:szCs w:val="21"/>
                <w14:textFill>
                  <w14:solidFill>
                    <w14:schemeClr w14:val="tx1">
                      <w14:lumMod w14:val="95000"/>
                      <w14:lumOff w14:val="5000"/>
                    </w14:schemeClr>
                  </w14:solidFill>
                </w14:textFill>
              </w:rPr>
              <w:t>（即双人验收、双人保管、双人发货、双把锁、双本账）</w:t>
            </w:r>
            <w:r>
              <w:rPr>
                <w:rFonts w:eastAsia="仿宋"/>
                <w:color w:val="0D0D0D" w:themeColor="text1" w:themeTint="F2"/>
                <w:kern w:val="0"/>
                <w:szCs w:val="21"/>
                <w14:textFill>
                  <w14:solidFill>
                    <w14:schemeClr w14:val="tx1">
                      <w14:lumMod w14:val="95000"/>
                      <w14:lumOff w14:val="5000"/>
                    </w14:schemeClr>
                  </w14:solidFill>
                </w14:textFill>
              </w:rPr>
              <w:t>，技防措施符合管制要求</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35</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单独存放、不得与易燃、易爆、腐蚀性物品等</w:t>
            </w:r>
            <w:r>
              <w:rPr>
                <w:rFonts w:hint="eastAsia" w:eastAsia="仿宋"/>
                <w:color w:val="0D0D0D" w:themeColor="text1" w:themeTint="F2"/>
                <w:kern w:val="0"/>
                <w:szCs w:val="21"/>
                <w14:textFill>
                  <w14:solidFill>
                    <w14:schemeClr w14:val="tx1">
                      <w14:lumMod w14:val="95000"/>
                      <w14:lumOff w14:val="5000"/>
                    </w14:schemeClr>
                  </w14:solidFill>
                </w14:textFill>
              </w:rPr>
              <w:t>一</w:t>
            </w:r>
            <w:r>
              <w:rPr>
                <w:rFonts w:eastAsia="仿宋"/>
                <w:color w:val="0D0D0D" w:themeColor="text1" w:themeTint="F2"/>
                <w:kern w:val="0"/>
                <w:szCs w:val="21"/>
                <w14:textFill>
                  <w14:solidFill>
                    <w14:schemeClr w14:val="tx1">
                      <w14:lumMod w14:val="95000"/>
                      <w14:lumOff w14:val="5000"/>
                    </w14:schemeClr>
                  </w14:solidFill>
                </w14:textFill>
              </w:rPr>
              <w:t>起存放；</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36</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有专人管理并做好贮存、领取、发放情况登记，登记资料至少保存1年；</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37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防盗安全门应符合GB17565的要求，防盗安全级别为乙级</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含</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以上</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防盗锁应符合GA/T73的要求</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防盗保险柜应符合《防盗保险柜》GB10409-2001的要求</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监控管控执行公安要求</w:t>
            </w:r>
          </w:p>
        </w:tc>
        <w:tc>
          <w:tcPr>
            <w:tcW w:w="2543"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8.4.2</w:t>
            </w:r>
          </w:p>
        </w:tc>
        <w:tc>
          <w:tcPr>
            <w:tcW w:w="3820" w:type="dxa"/>
            <w:tcMar>
              <w:left w:w="45" w:type="dxa"/>
              <w:right w:w="45" w:type="dxa"/>
            </w:tcMar>
            <w:vAlign w:val="center"/>
          </w:tcPr>
          <w:p>
            <w:pPr>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麻醉药品和第一类精神药品管理符合</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双人双锁</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，有专用账册</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38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设立专库或者专柜储存</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专库应当设有防盗设施并安装报警装置</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专柜应当使用保险柜</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专库和专柜应当实行双人双锁管理</w:t>
            </w:r>
            <w:r>
              <w:rPr>
                <w:rFonts w:hint="eastAsia" w:eastAsia="仿宋"/>
                <w:color w:val="0D0D0D" w:themeColor="text1" w:themeTint="F2"/>
                <w:kern w:val="0"/>
                <w:szCs w:val="21"/>
                <w14:textFill>
                  <w14:solidFill>
                    <w14:schemeClr w14:val="tx1">
                      <w14:lumMod w14:val="95000"/>
                      <w14:lumOff w14:val="5000"/>
                    </w14:schemeClr>
                  </w14:solidFill>
                </w14:textFill>
              </w:rPr>
              <w:t>；</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39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8.4.3</w:t>
            </w:r>
          </w:p>
        </w:tc>
        <w:tc>
          <w:tcPr>
            <w:tcW w:w="3820"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易制爆化学品存量合规、双人双锁</w:t>
            </w:r>
            <w:r>
              <w:rPr>
                <w:rFonts w:hint="eastAsia" w:eastAsia="仿宋"/>
                <w:color w:val="0D0D0D" w:themeColor="text1" w:themeTint="F2"/>
                <w:kern w:val="0"/>
                <w:szCs w:val="21"/>
                <w14:textFill>
                  <w14:solidFill>
                    <w14:schemeClr w14:val="tx1">
                      <w14:lumMod w14:val="95000"/>
                      <w14:lumOff w14:val="5000"/>
                    </w14:schemeClr>
                  </w14:solidFill>
                </w14:textFill>
              </w:rPr>
              <w:t>保管</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40</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存放场所出入口应设置防盗安全门，或存放在专用储存柜内</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储存场所防盗安全级别应为乙级（含）以上</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专用储存柜应具有防盗功能，符合双人双锁管理要求</w:t>
            </w:r>
            <w:r>
              <w:rPr>
                <w:rFonts w:hint="eastAsia" w:eastAsia="仿宋"/>
                <w:color w:val="0D0D0D" w:themeColor="text1" w:themeTint="F2"/>
                <w:kern w:val="0"/>
                <w:szCs w:val="21"/>
                <w14:textFill>
                  <w14:solidFill>
                    <w14:schemeClr w14:val="tx1">
                      <w14:lumMod w14:val="95000"/>
                      <w14:lumOff w14:val="5000"/>
                    </w14:schemeClr>
                  </w14:solidFill>
                </w14:textFill>
              </w:rPr>
              <w:t>，台账</w:t>
            </w:r>
            <w:r>
              <w:rPr>
                <w:rFonts w:eastAsia="仿宋"/>
                <w:color w:val="0D0D0D" w:themeColor="text1" w:themeTint="F2"/>
                <w:kern w:val="0"/>
                <w:szCs w:val="21"/>
                <w14:textFill>
                  <w14:solidFill>
                    <w14:schemeClr w14:val="tx1">
                      <w14:lumMod w14:val="95000"/>
                      <w14:lumOff w14:val="5000"/>
                    </w14:schemeClr>
                  </w14:solidFill>
                </w14:textFill>
              </w:rPr>
              <w:t>账册保存期限不少于1年</w:t>
            </w:r>
          </w:p>
        </w:tc>
        <w:tc>
          <w:tcPr>
            <w:tcW w:w="2543"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8.4.4</w:t>
            </w:r>
          </w:p>
        </w:tc>
        <w:tc>
          <w:tcPr>
            <w:tcW w:w="3820" w:type="dxa"/>
            <w:tcMar>
              <w:left w:w="45" w:type="dxa"/>
              <w:right w:w="45" w:type="dxa"/>
            </w:tcMar>
            <w:vAlign w:val="center"/>
          </w:tcPr>
          <w:p>
            <w:pPr>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易制毒化学品储存规范，台账清晰</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41</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设置专库或者专柜储存</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专库应当设有防盗设施</w:t>
            </w:r>
            <w:r>
              <w:rPr>
                <w:rFonts w:hint="eastAsia" w:eastAsia="仿宋"/>
                <w:color w:val="0D0D0D" w:themeColor="text1" w:themeTint="F2"/>
                <w:kern w:val="0"/>
                <w:szCs w:val="21"/>
                <w14:textFill>
                  <w14:solidFill>
                    <w14:schemeClr w14:val="tx1">
                      <w14:lumMod w14:val="95000"/>
                      <w14:lumOff w14:val="5000"/>
                    </w14:schemeClr>
                  </w14:solidFill>
                </w14:textFill>
              </w:rPr>
              <w:t>；</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42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第一类易制毒化学品、药品类易制毒化学品实现双人双锁管理，账册保存期限不少于2年</w:t>
            </w:r>
            <w:r>
              <w:rPr>
                <w:rFonts w:hint="eastAsia" w:eastAsia="仿宋"/>
                <w:color w:val="0D0D0D" w:themeColor="text1" w:themeTint="F2"/>
                <w:kern w:val="0"/>
                <w:szCs w:val="21"/>
                <w14:textFill>
                  <w14:solidFill>
                    <w14:schemeClr w14:val="tx1">
                      <w14:lumMod w14:val="95000"/>
                      <w14:lumOff w14:val="5000"/>
                    </w14:schemeClr>
                  </w14:solidFill>
                </w14:textFill>
              </w:rPr>
              <w:t>。第二、三类易制毒品实行上锁管理，并记录台账</w:t>
            </w:r>
          </w:p>
        </w:tc>
        <w:tc>
          <w:tcPr>
            <w:tcW w:w="2543"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8.4.5</w:t>
            </w:r>
          </w:p>
        </w:tc>
        <w:tc>
          <w:tcPr>
            <w:tcW w:w="3820" w:type="dxa"/>
            <w:tcMar>
              <w:left w:w="45" w:type="dxa"/>
              <w:right w:w="45" w:type="dxa"/>
            </w:tcMar>
            <w:vAlign w:val="center"/>
          </w:tcPr>
          <w:p>
            <w:pPr>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43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8.5</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8.5.1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从合格供应商处采购实验气体，建立气体钢瓶台账</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bCs/>
                <w:color w:val="0D0D0D" w:themeColor="text1" w:themeTint="F2"/>
                <w:kern w:val="0"/>
                <w:szCs w:val="21"/>
                <w14:textFill>
                  <w14:solidFill>
                    <w14:schemeClr w14:val="tx1">
                      <w14:lumMod w14:val="95000"/>
                      <w14:lumOff w14:val="5000"/>
                    </w14:schemeClr>
                  </w14:solidFill>
                </w14:textFill>
              </w:rPr>
              <w:t>（1</w:t>
            </w:r>
            <w:r>
              <w:rPr>
                <w:rFonts w:eastAsia="仿宋"/>
                <w:bCs/>
                <w:color w:val="0D0D0D" w:themeColor="text1" w:themeTint="F2"/>
                <w:kern w:val="0"/>
                <w:szCs w:val="21"/>
                <w14:textFill>
                  <w14:solidFill>
                    <w14:schemeClr w14:val="tx1">
                      <w14:lumMod w14:val="95000"/>
                      <w14:lumOff w14:val="5000"/>
                    </w14:schemeClr>
                  </w14:solidFill>
                </w14:textFill>
              </w:rPr>
              <w:t>44</w:t>
            </w: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查看记录</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8.5.2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气体的存放和使用符合相关要求</w:t>
            </w:r>
          </w:p>
        </w:tc>
        <w:tc>
          <w:tcPr>
            <w:tcW w:w="7660" w:type="dxa"/>
            <w:tcMar>
              <w:left w:w="45" w:type="dxa"/>
              <w:right w:w="45" w:type="dxa"/>
            </w:tcMar>
            <w:vAlign w:val="center"/>
          </w:tcPr>
          <w:p>
            <w:pPr>
              <w:rPr>
                <w:rFonts w:eastAsia="仿宋"/>
                <w:color w:val="0D0D0D" w:themeColor="text1" w:themeTint="F2"/>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45</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气体钢瓶存放点须通风、远离热源、</w:t>
            </w:r>
            <w:r>
              <w:rPr>
                <w:rFonts w:eastAsia="仿宋"/>
                <w:color w:val="0D0D0D" w:themeColor="text1" w:themeTint="F2"/>
                <w:szCs w:val="21"/>
                <w14:textFill>
                  <w14:solidFill>
                    <w14:schemeClr w14:val="tx1">
                      <w14:lumMod w14:val="95000"/>
                      <w14:lumOff w14:val="5000"/>
                    </w14:schemeClr>
                  </w14:solidFill>
                </w14:textFill>
              </w:rPr>
              <w:t>避免暴晒，地面平整干燥；</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szCs w:val="21"/>
                <w14:textFill>
                  <w14:solidFill>
                    <w14:schemeClr w14:val="tx1">
                      <w14:lumMod w14:val="95000"/>
                      <w14:lumOff w14:val="5000"/>
                    </w14:schemeClr>
                  </w14:solidFill>
                </w14:textFill>
              </w:rPr>
              <w:t>（1</w:t>
            </w:r>
            <w:r>
              <w:rPr>
                <w:rFonts w:eastAsia="仿宋"/>
                <w:color w:val="0D0D0D" w:themeColor="text1" w:themeTint="F2"/>
                <w:szCs w:val="21"/>
                <w14:textFill>
                  <w14:solidFill>
                    <w14:schemeClr w14:val="tx1">
                      <w14:lumMod w14:val="95000"/>
                      <w14:lumOff w14:val="5000"/>
                    </w14:schemeClr>
                  </w14:solidFill>
                </w14:textFill>
              </w:rPr>
              <w:t>46</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气瓶应合理固定；</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47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危险气体钢瓶尽量置于室外，室内放置应使用常时排风且带监测报警装置的气瓶柜；</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48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气瓶的存放应控制在最小需求量；</w:t>
            </w:r>
          </w:p>
          <w:p>
            <w:pPr>
              <w:rPr>
                <w:rFonts w:eastAsia="仿宋"/>
                <w:color w:val="0D0D0D" w:themeColor="text1" w:themeTint="F2"/>
                <w:kern w:val="0"/>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49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涉及有毒、可燃气体的场所，配有通风设施和相应的气体监测和报警装置等，张贴必要的安全警示标识；</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14:textFill>
                  <w14:solidFill>
                    <w14:schemeClr w14:val="tx1">
                      <w14:lumMod w14:val="95000"/>
                      <w14:lumOff w14:val="5000"/>
                    </w14:schemeClr>
                  </w14:solidFill>
                </w14:textFill>
              </w:rPr>
              <w:t>（1</w:t>
            </w:r>
            <w:r>
              <w:rPr>
                <w:rFonts w:eastAsia="仿宋"/>
                <w:color w:val="0D0D0D" w:themeColor="text1" w:themeTint="F2"/>
                <w:kern w:val="0"/>
                <w14:textFill>
                  <w14:solidFill>
                    <w14:schemeClr w14:val="tx1">
                      <w14:lumMod w14:val="95000"/>
                      <w14:lumOff w14:val="5000"/>
                    </w14:schemeClr>
                  </w14:solidFill>
                </w14:textFill>
              </w:rPr>
              <w:t>50</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可燃性气体与氧气等助燃气体</w:t>
            </w:r>
            <w:r>
              <w:rPr>
                <w:rFonts w:hint="eastAsia" w:eastAsia="仿宋"/>
                <w:color w:val="0D0D0D" w:themeColor="text1" w:themeTint="F2"/>
                <w:kern w:val="0"/>
                <w:szCs w:val="21"/>
                <w14:textFill>
                  <w14:solidFill>
                    <w14:schemeClr w14:val="tx1">
                      <w14:lumMod w14:val="95000"/>
                      <w14:lumOff w14:val="5000"/>
                    </w14:schemeClr>
                  </w14:solidFill>
                </w14:textFill>
              </w:rPr>
              <w:t>钢瓶</w:t>
            </w:r>
            <w:r>
              <w:rPr>
                <w:rFonts w:eastAsia="仿宋"/>
                <w:color w:val="0D0D0D" w:themeColor="text1" w:themeTint="F2"/>
                <w:kern w:val="0"/>
                <w:szCs w:val="21"/>
                <w14:textFill>
                  <w14:solidFill>
                    <w14:schemeClr w14:val="tx1">
                      <w14:lumMod w14:val="95000"/>
                      <w14:lumOff w14:val="5000"/>
                    </w14:schemeClr>
                  </w14:solidFill>
                </w14:textFill>
              </w:rPr>
              <w:t>不</w:t>
            </w:r>
            <w:r>
              <w:rPr>
                <w:rFonts w:hint="eastAsia" w:eastAsia="仿宋"/>
                <w:color w:val="0D0D0D" w:themeColor="text1" w:themeTint="F2"/>
                <w:kern w:val="0"/>
                <w:szCs w:val="21"/>
                <w14:textFill>
                  <w14:solidFill>
                    <w14:schemeClr w14:val="tx1">
                      <w14:lumMod w14:val="95000"/>
                      <w14:lumOff w14:val="5000"/>
                    </w14:schemeClr>
                  </w14:solidFill>
                </w14:textFill>
              </w:rPr>
              <w:t>得</w:t>
            </w:r>
            <w:r>
              <w:rPr>
                <w:rFonts w:eastAsia="仿宋"/>
                <w:color w:val="0D0D0D" w:themeColor="text1" w:themeTint="F2"/>
                <w:kern w:val="0"/>
                <w:szCs w:val="21"/>
                <w14:textFill>
                  <w14:solidFill>
                    <w14:schemeClr w14:val="tx1">
                      <w14:lumMod w14:val="95000"/>
                      <w14:lumOff w14:val="5000"/>
                    </w14:schemeClr>
                  </w14:solidFill>
                </w14:textFill>
              </w:rPr>
              <w:t>混放；</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51</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独立的气体钢瓶室应通风、不混放、有监控</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有专人管理和记录；</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52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有供应商</w:t>
            </w:r>
            <w:r>
              <w:rPr>
                <w:rFonts w:hint="eastAsia" w:eastAsia="仿宋"/>
                <w:color w:val="0D0D0D" w:themeColor="text1" w:themeTint="F2"/>
                <w:kern w:val="0"/>
                <w:szCs w:val="21"/>
                <w14:textFill>
                  <w14:solidFill>
                    <w14:schemeClr w14:val="tx1">
                      <w14:lumMod w14:val="95000"/>
                      <w14:lumOff w14:val="5000"/>
                    </w14:schemeClr>
                  </w14:solidFill>
                </w14:textFill>
              </w:rPr>
              <w:t>提供的</w:t>
            </w:r>
            <w:r>
              <w:rPr>
                <w:rFonts w:eastAsia="仿宋"/>
                <w:color w:val="0D0D0D" w:themeColor="text1" w:themeTint="F2"/>
                <w:kern w:val="0"/>
                <w:szCs w:val="21"/>
                <w14:textFill>
                  <w14:solidFill>
                    <w14:schemeClr w14:val="tx1">
                      <w14:lumMod w14:val="95000"/>
                      <w14:lumOff w14:val="5000"/>
                    </w14:schemeClr>
                  </w14:solidFill>
                </w14:textFill>
              </w:rPr>
              <w:t>钢瓶定期检验合格标识</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无超过检验有效期的气瓶、无超过设计年限的气瓶；</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53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钢瓶气瓶颜色符合GB/T 7144 的规定要求</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确认</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满、使用中、空瓶</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三种状态</w:t>
            </w:r>
            <w:r>
              <w:rPr>
                <w:rFonts w:hint="eastAsia" w:eastAsia="仿宋"/>
                <w:color w:val="0D0D0D" w:themeColor="text1" w:themeTint="F2"/>
                <w:kern w:val="0"/>
                <w:szCs w:val="21"/>
                <w14:textFill>
                  <w14:solidFill>
                    <w14:schemeClr w14:val="tx1">
                      <w14:lumMod w14:val="95000"/>
                      <w14:lumOff w14:val="5000"/>
                    </w14:schemeClr>
                  </w14:solidFill>
                </w14:textFill>
              </w:rPr>
              <w:t>；</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54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使用完毕，</w:t>
            </w:r>
            <w:r>
              <w:rPr>
                <w:rFonts w:hint="eastAsia" w:eastAsia="仿宋"/>
                <w:color w:val="0D0D0D" w:themeColor="text1" w:themeTint="F2"/>
                <w:kern w:val="0"/>
                <w:szCs w:val="21"/>
                <w14:textFill>
                  <w14:solidFill>
                    <w14:schemeClr w14:val="tx1">
                      <w14:lumMod w14:val="95000"/>
                      <w14:lumOff w14:val="5000"/>
                    </w14:schemeClr>
                  </w14:solidFill>
                </w14:textFill>
              </w:rPr>
              <w:t>应</w:t>
            </w:r>
            <w:r>
              <w:rPr>
                <w:rFonts w:eastAsia="仿宋"/>
                <w:color w:val="0D0D0D" w:themeColor="text1" w:themeTint="F2"/>
                <w:kern w:val="0"/>
                <w:szCs w:val="21"/>
                <w14:textFill>
                  <w14:solidFill>
                    <w14:schemeClr w14:val="tx1">
                      <w14:lumMod w14:val="95000"/>
                      <w14:lumOff w14:val="5000"/>
                    </w14:schemeClr>
                  </w14:solidFill>
                </w14:textFill>
              </w:rPr>
              <w:t>及时关闭气瓶总阀；</w:t>
            </w:r>
          </w:p>
          <w:p>
            <w:pPr>
              <w:rPr>
                <w:rFonts w:eastAsia="仿宋"/>
                <w:color w:val="0D0D0D" w:themeColor="text1" w:themeTint="F2"/>
                <w:kern w:val="0"/>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55</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钢瓶附件齐全，未在使用中的气瓶</w:t>
            </w:r>
            <w:r>
              <w:rPr>
                <w:rFonts w:hint="eastAsia" w:eastAsia="仿宋"/>
                <w:color w:val="0D0D0D" w:themeColor="text1" w:themeTint="F2"/>
                <w:kern w:val="0"/>
                <w14:textFill>
                  <w14:solidFill>
                    <w14:schemeClr w14:val="tx1">
                      <w14:lumMod w14:val="95000"/>
                      <w14:lumOff w14:val="5000"/>
                    </w14:schemeClr>
                  </w14:solidFill>
                </w14:textFill>
              </w:rPr>
              <w:t>应</w:t>
            </w:r>
            <w:r>
              <w:rPr>
                <w:rFonts w:eastAsia="仿宋"/>
                <w:color w:val="0D0D0D" w:themeColor="text1" w:themeTint="F2"/>
                <w:kern w:val="0"/>
                <w14:textFill>
                  <w14:solidFill>
                    <w14:schemeClr w14:val="tx1">
                      <w14:lumMod w14:val="95000"/>
                      <w14:lumOff w14:val="5000"/>
                    </w14:schemeClr>
                  </w14:solidFill>
                </w14:textFill>
              </w:rPr>
              <w:t>有气瓶帽</w:t>
            </w:r>
          </w:p>
        </w:tc>
        <w:tc>
          <w:tcPr>
            <w:tcW w:w="2543" w:type="dxa"/>
            <w:tcMar>
              <w:left w:w="45" w:type="dxa"/>
              <w:right w:w="45" w:type="dxa"/>
            </w:tcMar>
            <w:vAlign w:val="center"/>
          </w:tcPr>
          <w:p>
            <w:pPr>
              <w:rPr>
                <w:rFonts w:eastAsia="仿宋"/>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8.5.3</w:t>
            </w:r>
          </w:p>
        </w:tc>
        <w:tc>
          <w:tcPr>
            <w:tcW w:w="3820" w:type="dxa"/>
            <w:tcMar>
              <w:left w:w="45" w:type="dxa"/>
              <w:right w:w="45" w:type="dxa"/>
            </w:tcMar>
            <w:vAlign w:val="center"/>
          </w:tcPr>
          <w:p>
            <w:pPr>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14:textFill>
                  <w14:solidFill>
                    <w14:schemeClr w14:val="tx1">
                      <w14:lumMod w14:val="95000"/>
                      <w14:lumOff w14:val="5000"/>
                    </w14:schemeClr>
                  </w14:solidFill>
                </w14:textFill>
              </w:rPr>
              <w:t>较小密封空间使用可引起窒息的气体，需安装有氧含量监测，</w:t>
            </w:r>
            <w:r>
              <w:rPr>
                <w:rFonts w:eastAsia="仿宋"/>
                <w:color w:val="0D0D0D" w:themeColor="text1" w:themeTint="F2"/>
                <w:kern w:val="0"/>
                <w:szCs w:val="21"/>
                <w14:textFill>
                  <w14:solidFill>
                    <w14:schemeClr w14:val="tx1">
                      <w14:lumMod w14:val="95000"/>
                      <w14:lumOff w14:val="5000"/>
                    </w14:schemeClr>
                  </w14:solidFill>
                </w14:textFill>
              </w:rPr>
              <w:t>设置必要的气体报警装置</w:t>
            </w:r>
          </w:p>
        </w:tc>
        <w:tc>
          <w:tcPr>
            <w:tcW w:w="7660"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hint="eastAsia" w:eastAsia="仿宋"/>
                <w:color w:val="0D0D0D" w:themeColor="text1" w:themeTint="F2"/>
                <w:szCs w:val="21"/>
                <w14:textFill>
                  <w14:solidFill>
                    <w14:schemeClr w14:val="tx1">
                      <w14:lumMod w14:val="95000"/>
                      <w14:lumOff w14:val="5000"/>
                    </w14:schemeClr>
                  </w14:solidFill>
                </w14:textFill>
              </w:rPr>
              <w:t>（1</w:t>
            </w:r>
            <w:r>
              <w:rPr>
                <w:rFonts w:eastAsia="仿宋"/>
                <w:color w:val="0D0D0D" w:themeColor="text1" w:themeTint="F2"/>
                <w:szCs w:val="21"/>
                <w14:textFill>
                  <w14:solidFill>
                    <w14:schemeClr w14:val="tx1">
                      <w14:lumMod w14:val="95000"/>
                      <w14:lumOff w14:val="5000"/>
                    </w14:schemeClr>
                  </w14:solidFill>
                </w14:textFill>
              </w:rPr>
              <w:t>56</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存有大量</w:t>
            </w:r>
            <w:r>
              <w:rPr>
                <w:rFonts w:hint="eastAsia" w:eastAsia="仿宋"/>
                <w:color w:val="0D0D0D" w:themeColor="text1" w:themeTint="F2"/>
                <w:szCs w:val="21"/>
                <w14:textFill>
                  <w14:solidFill>
                    <w14:schemeClr w14:val="tx1">
                      <w14:lumMod w14:val="95000"/>
                      <w14:lumOff w14:val="5000"/>
                    </w14:schemeClr>
                  </w14:solidFill>
                </w14:textFill>
              </w:rPr>
              <w:t>无毒窒息性压缩</w:t>
            </w:r>
            <w:r>
              <w:rPr>
                <w:rFonts w:eastAsia="仿宋"/>
                <w:color w:val="0D0D0D" w:themeColor="text1" w:themeTint="F2"/>
                <w:szCs w:val="21"/>
                <w14:textFill>
                  <w14:solidFill>
                    <w14:schemeClr w14:val="tx1">
                      <w14:lumMod w14:val="95000"/>
                      <w14:lumOff w14:val="5000"/>
                    </w14:schemeClr>
                  </w14:solidFill>
                </w14:textFill>
              </w:rPr>
              <w:t>气体或液</w:t>
            </w:r>
            <w:r>
              <w:rPr>
                <w:rFonts w:hint="eastAsia" w:eastAsia="仿宋"/>
                <w:color w:val="0D0D0D" w:themeColor="text1" w:themeTint="F2"/>
                <w:szCs w:val="21"/>
                <w14:textFill>
                  <w14:solidFill>
                    <w14:schemeClr w14:val="tx1">
                      <w14:lumMod w14:val="95000"/>
                      <w14:lumOff w14:val="5000"/>
                    </w14:schemeClr>
                  </w14:solidFill>
                </w14:textFill>
              </w:rPr>
              <w:t>化气体</w:t>
            </w:r>
            <w:r>
              <w:rPr>
                <w:rFonts w:eastAsia="仿宋"/>
                <w:color w:val="0D0D0D" w:themeColor="text1" w:themeTint="F2"/>
                <w:szCs w:val="21"/>
                <w14:textFill>
                  <w14:solidFill>
                    <w14:schemeClr w14:val="tx1">
                      <w14:lumMod w14:val="95000"/>
                      <w14:lumOff w14:val="5000"/>
                    </w14:schemeClr>
                  </w14:solidFill>
                </w14:textFill>
              </w:rPr>
              <w:t>（液氮、液</w:t>
            </w:r>
            <w:r>
              <w:rPr>
                <w:rFonts w:hint="eastAsia" w:eastAsia="仿宋"/>
                <w:color w:val="0D0D0D" w:themeColor="text1" w:themeTint="F2"/>
                <w:szCs w:val="21"/>
                <w14:textFill>
                  <w14:solidFill>
                    <w14:schemeClr w14:val="tx1">
                      <w14:lumMod w14:val="95000"/>
                      <w14:lumOff w14:val="5000"/>
                    </w14:schemeClr>
                  </w14:solidFill>
                </w14:textFill>
              </w:rPr>
              <w:t>氩</w:t>
            </w:r>
            <w:r>
              <w:rPr>
                <w:rFonts w:eastAsia="仿宋"/>
                <w:color w:val="0D0D0D" w:themeColor="text1" w:themeTint="F2"/>
                <w:szCs w:val="21"/>
                <w14:textFill>
                  <w14:solidFill>
                    <w14:schemeClr w14:val="tx1">
                      <w14:lumMod w14:val="95000"/>
                      <w14:lumOff w14:val="5000"/>
                    </w14:schemeClr>
                  </w14:solidFill>
                </w14:textFill>
              </w:rPr>
              <w:t>）的较小密闭空间，为</w:t>
            </w:r>
            <w:r>
              <w:rPr>
                <w:rFonts w:eastAsia="仿宋"/>
                <w:bCs/>
                <w:color w:val="0D0D0D" w:themeColor="text1" w:themeTint="F2"/>
                <w:kern w:val="0"/>
                <w:szCs w:val="21"/>
                <w14:textFill>
                  <w14:solidFill>
                    <w14:schemeClr w14:val="tx1">
                      <w14:lumMod w14:val="95000"/>
                      <w14:lumOff w14:val="5000"/>
                    </w14:schemeClr>
                  </w14:solidFill>
                </w14:textFill>
              </w:rPr>
              <w:t>防止大量泄漏或蒸发导致缺氧，</w:t>
            </w:r>
            <w:r>
              <w:rPr>
                <w:rFonts w:hint="eastAsia" w:eastAsia="仿宋"/>
                <w:color w:val="0D0D0D" w:themeColor="text1" w:themeTint="F2"/>
                <w:szCs w:val="21"/>
                <w14:textFill>
                  <w14:solidFill>
                    <w14:schemeClr w14:val="tx1">
                      <w14:lumMod w14:val="95000"/>
                      <w14:lumOff w14:val="5000"/>
                    </w14:schemeClr>
                  </w14:solidFill>
                </w14:textFill>
              </w:rPr>
              <w:t>须</w:t>
            </w:r>
            <w:r>
              <w:rPr>
                <w:rFonts w:eastAsia="仿宋"/>
                <w:color w:val="0D0D0D" w:themeColor="text1" w:themeTint="F2"/>
                <w:szCs w:val="21"/>
                <w14:textFill>
                  <w14:solidFill>
                    <w14:schemeClr w14:val="tx1">
                      <w14:lumMod w14:val="95000"/>
                      <w14:lumOff w14:val="5000"/>
                    </w14:schemeClr>
                  </w14:solidFill>
                </w14:textFill>
              </w:rPr>
              <w:t>安装氧含量监测报警装置</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8.5.4</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气体管路和钢瓶连接正确、有清晰标识</w:t>
            </w:r>
          </w:p>
        </w:tc>
        <w:tc>
          <w:tcPr>
            <w:tcW w:w="7660" w:type="dxa"/>
            <w:tcMar>
              <w:left w:w="45" w:type="dxa"/>
              <w:right w:w="45" w:type="dxa"/>
            </w:tcMar>
            <w:vAlign w:val="center"/>
          </w:tcPr>
          <w:p>
            <w:pPr>
              <w:widowControl/>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57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管路材质选择合适，无破损或老化现象，定期进行气密性检查；存在多条气体管路的房间须张贴详细的管路图</w:t>
            </w:r>
            <w:r>
              <w:rPr>
                <w:rFonts w:hint="eastAsia" w:eastAsia="仿宋"/>
                <w:color w:val="0D0D0D" w:themeColor="text1" w:themeTint="F2"/>
                <w:kern w:val="0"/>
                <w:szCs w:val="21"/>
                <w14:textFill>
                  <w14:solidFill>
                    <w14:schemeClr w14:val="tx1">
                      <w14:lumMod w14:val="95000"/>
                      <w14:lumOff w14:val="5000"/>
                    </w14:schemeClr>
                  </w14:solidFill>
                </w14:textFill>
              </w:rPr>
              <w:t>，管路标识正确</w:t>
            </w:r>
          </w:p>
        </w:tc>
        <w:tc>
          <w:tcPr>
            <w:tcW w:w="2543" w:type="dxa"/>
            <w:tcMar>
              <w:left w:w="45" w:type="dxa"/>
              <w:right w:w="45" w:type="dxa"/>
            </w:tcMar>
            <w:vAlign w:val="center"/>
          </w:tcPr>
          <w:p>
            <w:pPr>
              <w:widowControl/>
              <w:spacing w:line="300" w:lineRule="exact"/>
              <w:rPr>
                <w:rFonts w:ascii="仿宋" w:hAnsi="仿宋"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8.6</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8.6.1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实验室应设立化学废弃物暂存区</w:t>
            </w:r>
          </w:p>
        </w:tc>
        <w:tc>
          <w:tcPr>
            <w:tcW w:w="7660" w:type="dxa"/>
            <w:tcMar>
              <w:left w:w="45" w:type="dxa"/>
              <w:right w:w="45" w:type="dxa"/>
            </w:tcMar>
            <w:vAlign w:val="center"/>
          </w:tcPr>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58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暂存区</w:t>
            </w:r>
            <w:r>
              <w:rPr>
                <w:rFonts w:hint="eastAsia" w:eastAsia="仿宋"/>
                <w:color w:val="0D0D0D" w:themeColor="text1" w:themeTint="F2"/>
                <w:kern w:val="0"/>
                <w:szCs w:val="21"/>
                <w14:textFill>
                  <w14:solidFill>
                    <w14:schemeClr w14:val="tx1">
                      <w14:lumMod w14:val="95000"/>
                      <w14:lumOff w14:val="5000"/>
                    </w14:schemeClr>
                  </w14:solidFill>
                </w14:textFill>
              </w:rPr>
              <w:t>应</w:t>
            </w:r>
            <w:r>
              <w:rPr>
                <w:rFonts w:eastAsia="仿宋"/>
                <w:color w:val="0D0D0D" w:themeColor="text1" w:themeTint="F2"/>
                <w:kern w:val="0"/>
                <w:szCs w:val="21"/>
                <w14:textFill>
                  <w14:solidFill>
                    <w14:schemeClr w14:val="tx1">
                      <w14:lumMod w14:val="95000"/>
                      <w14:lumOff w14:val="5000"/>
                    </w14:schemeClr>
                  </w14:solidFill>
                </w14:textFill>
              </w:rPr>
              <w:t>远离火源、热源和不相容物质，避免日晒、雨淋，存放两种及以上不相容的实验室危险废物时，应分不同区域；</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59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 xml:space="preserve">暂存区应有警示标识并有防遗洒、防渗漏设施或措施 </w:t>
            </w:r>
          </w:p>
        </w:tc>
        <w:tc>
          <w:tcPr>
            <w:tcW w:w="2543" w:type="dxa"/>
            <w:tcMar>
              <w:left w:w="45" w:type="dxa"/>
              <w:right w:w="45" w:type="dxa"/>
            </w:tcMar>
            <w:vAlign w:val="center"/>
          </w:tcPr>
          <w:p>
            <w:pPr>
              <w:widowControl/>
              <w:spacing w:line="300" w:lineRule="exact"/>
              <w:rPr>
                <w:rFonts w:ascii="仿宋" w:hAnsi="仿宋"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8.6.2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实验室内须规范收集化学废弃物</w:t>
            </w:r>
          </w:p>
        </w:tc>
        <w:tc>
          <w:tcPr>
            <w:tcW w:w="7660" w:type="dxa"/>
            <w:tcMar>
              <w:left w:w="45" w:type="dxa"/>
              <w:right w:w="45" w:type="dxa"/>
            </w:tcMar>
            <w:vAlign w:val="center"/>
          </w:tcPr>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60</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危险废物应按化学特性和危险特性，进行分类收集和暂存；</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61</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废弃的化学试剂应存放在原试剂瓶中，保留原标签，并瓶口朝上放入专用固废箱中；</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62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针头等利器需放入利器盒中收集；</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63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废液应分类装入专用废液桶中，</w:t>
            </w:r>
            <w:r>
              <w:rPr>
                <w:rFonts w:hint="eastAsia" w:eastAsia="仿宋"/>
                <w:color w:val="0D0D0D" w:themeColor="text1" w:themeTint="F2"/>
                <w:kern w:val="0"/>
                <w:szCs w:val="21"/>
                <w14:textFill>
                  <w14:solidFill>
                    <w14:schemeClr w14:val="tx1">
                      <w14:lumMod w14:val="95000"/>
                      <w14:lumOff w14:val="5000"/>
                    </w14:schemeClr>
                  </w14:solidFill>
                </w14:textFill>
              </w:rPr>
              <w:t>液面不超过容量的3</w:t>
            </w:r>
            <w:r>
              <w:rPr>
                <w:rFonts w:eastAsia="仿宋"/>
                <w:color w:val="0D0D0D" w:themeColor="text1" w:themeTint="F2"/>
                <w:kern w:val="0"/>
                <w:szCs w:val="21"/>
                <w14:textFill>
                  <w14:solidFill>
                    <w14:schemeClr w14:val="tx1">
                      <w14:lumMod w14:val="95000"/>
                      <w14:lumOff w14:val="5000"/>
                    </w14:schemeClr>
                  </w14:solidFill>
                </w14:textFill>
              </w:rPr>
              <w:t>/4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废液桶须满足耐腐蚀、抗溶剂、耐挤压、抗冲击的要求；</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64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实验室危险废物收集容器上应粘贴</w:t>
            </w:r>
            <w:r>
              <w:rPr>
                <w:rFonts w:hint="eastAsia" w:eastAsia="仿宋"/>
                <w:color w:val="0D0D0D" w:themeColor="text1" w:themeTint="F2"/>
                <w:kern w:val="0"/>
                <w:szCs w:val="21"/>
                <w14:textFill>
                  <w14:solidFill>
                    <w14:schemeClr w14:val="tx1">
                      <w14:lumMod w14:val="95000"/>
                      <w14:lumOff w14:val="5000"/>
                    </w14:schemeClr>
                  </w14:solidFill>
                </w14:textFill>
              </w:rPr>
              <w:t>危险废物信息</w:t>
            </w:r>
            <w:r>
              <w:rPr>
                <w:rFonts w:eastAsia="仿宋"/>
                <w:color w:val="0D0D0D" w:themeColor="text1" w:themeTint="F2"/>
                <w:kern w:val="0"/>
                <w:szCs w:val="21"/>
                <w14:textFill>
                  <w14:solidFill>
                    <w14:schemeClr w14:val="tx1">
                      <w14:lumMod w14:val="95000"/>
                      <w14:lumOff w14:val="5000"/>
                    </w14:schemeClr>
                  </w14:solidFill>
                </w14:textFill>
              </w:rPr>
              <w:t>标签、</w:t>
            </w:r>
            <w:r>
              <w:rPr>
                <w:rFonts w:hint="eastAsia" w:eastAsia="仿宋"/>
                <w:color w:val="0D0D0D" w:themeColor="text1" w:themeTint="F2"/>
                <w:kern w:val="0"/>
                <w:szCs w:val="21"/>
                <w14:textFill>
                  <w14:solidFill>
                    <w14:schemeClr w14:val="tx1">
                      <w14:lumMod w14:val="95000"/>
                      <w14:lumOff w14:val="5000"/>
                    </w14:schemeClr>
                  </w14:solidFill>
                </w14:textFill>
              </w:rPr>
              <w:t>警示标志；</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65</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8.6.3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化学废弃物的转运须合规</w:t>
            </w:r>
          </w:p>
        </w:tc>
        <w:tc>
          <w:tcPr>
            <w:tcW w:w="7660" w:type="dxa"/>
            <w:tcMar>
              <w:left w:w="45" w:type="dxa"/>
              <w:right w:w="45" w:type="dxa"/>
            </w:tcMar>
            <w:vAlign w:val="center"/>
          </w:tcPr>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66</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委托有危险废物处置资质的专业厂家集中处置化学废弃物</w:t>
            </w:r>
            <w:r>
              <w:rPr>
                <w:rFonts w:hint="eastAsia" w:eastAsia="仿宋"/>
                <w:color w:val="0D0D0D" w:themeColor="text1" w:themeTint="F2"/>
                <w:kern w:val="0"/>
                <w:szCs w:val="21"/>
                <w14:textFill>
                  <w14:solidFill>
                    <w14:schemeClr w14:val="tx1">
                      <w14:lumMod w14:val="95000"/>
                      <w14:lumOff w14:val="5000"/>
                    </w14:schemeClr>
                  </w14:solidFill>
                </w14:textFill>
              </w:rPr>
              <w:t>，查看协议；</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167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建立危险废物管理台账</w:t>
            </w:r>
            <w:r>
              <w:rPr>
                <w:rFonts w:eastAsia="仿宋"/>
                <w:color w:val="0D0D0D" w:themeColor="text1" w:themeTint="F2"/>
                <w:kern w:val="0"/>
                <w:szCs w:val="21"/>
                <w14:textFill>
                  <w14:solidFill>
                    <w14:schemeClr w14:val="tx1">
                      <w14:lumMod w14:val="95000"/>
                      <w14:lumOff w14:val="5000"/>
                    </w14:schemeClr>
                  </w14:solidFill>
                </w14:textFill>
              </w:rPr>
              <w:t>，如实记录有关信息，包括种类、产生量、流向、贮存、处置等有关资料；</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68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校外转运之前，贮存站必须妥善管理实验室危险废物，采取有效措施，防止废物的</w:t>
            </w:r>
            <w:r>
              <w:rPr>
                <w:rFonts w:hint="eastAsia" w:eastAsia="仿宋"/>
                <w:color w:val="0D0D0D" w:themeColor="text1" w:themeTint="F2"/>
                <w:kern w:val="0"/>
                <w:szCs w:val="21"/>
                <w14:textFill>
                  <w14:solidFill>
                    <w14:schemeClr w14:val="tx1">
                      <w14:lumMod w14:val="95000"/>
                      <w14:lumOff w14:val="5000"/>
                    </w14:schemeClr>
                  </w14:solidFill>
                </w14:textFill>
              </w:rPr>
              <w:t>扬</w:t>
            </w:r>
            <w:r>
              <w:rPr>
                <w:rFonts w:eastAsia="仿宋"/>
                <w:color w:val="0D0D0D" w:themeColor="text1" w:themeTint="F2"/>
                <w:kern w:val="0"/>
                <w:szCs w:val="21"/>
                <w14:textFill>
                  <w14:solidFill>
                    <w14:schemeClr w14:val="tx1">
                      <w14:lumMod w14:val="95000"/>
                      <w14:lumOff w14:val="5000"/>
                    </w14:schemeClr>
                  </w14:solidFill>
                </w14:textFill>
              </w:rPr>
              <w:t>散、流失、渗漏或</w:t>
            </w:r>
            <w:r>
              <w:rPr>
                <w:rFonts w:hint="eastAsia" w:eastAsia="仿宋"/>
                <w:color w:val="0D0D0D" w:themeColor="text1" w:themeTint="F2"/>
                <w:kern w:val="0"/>
                <w:szCs w:val="21"/>
                <w14:textFill>
                  <w14:solidFill>
                    <w14:schemeClr w14:val="tx1">
                      <w14:lumMod w14:val="95000"/>
                      <w14:lumOff w14:val="5000"/>
                    </w14:schemeClr>
                  </w14:solidFill>
                </w14:textFill>
              </w:rPr>
              <w:t>其他环境污染；</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69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转运人员应使用专用运输工具，运输前根据运输废物的危险特性，应携带必要的应急物资和个人防护用具，如收集工具、手套、口罩等；</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70</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8.6.4</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学校应建设化学废弃物贮存站并规范管理</w:t>
            </w:r>
          </w:p>
        </w:tc>
        <w:tc>
          <w:tcPr>
            <w:tcW w:w="7660" w:type="dxa"/>
            <w:tcMar>
              <w:left w:w="45" w:type="dxa"/>
              <w:right w:w="45" w:type="dxa"/>
            </w:tcMar>
            <w:vAlign w:val="center"/>
          </w:tcPr>
          <w:p>
            <w:pPr>
              <w:widowControl/>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bCs/>
                <w:color w:val="0D0D0D" w:themeColor="text1" w:themeTint="F2"/>
                <w:kern w:val="0"/>
                <w:szCs w:val="21"/>
                <w14:textFill>
                  <w14:solidFill>
                    <w14:schemeClr w14:val="tx1">
                      <w14:lumMod w14:val="95000"/>
                      <w14:lumOff w14:val="5000"/>
                    </w14:schemeClr>
                  </w14:solidFill>
                </w14:textFill>
              </w:rPr>
              <w:t>（1</w:t>
            </w:r>
            <w:r>
              <w:rPr>
                <w:rFonts w:eastAsia="仿宋"/>
                <w:bCs/>
                <w:color w:val="0D0D0D" w:themeColor="text1" w:themeTint="F2"/>
                <w:kern w:val="0"/>
                <w:szCs w:val="21"/>
                <w14:textFill>
                  <w14:solidFill>
                    <w14:schemeClr w14:val="tx1">
                      <w14:lumMod w14:val="95000"/>
                      <w14:lumOff w14:val="5000"/>
                    </w14:schemeClr>
                  </w14:solidFill>
                </w14:textFill>
              </w:rPr>
              <w:t>71</w:t>
            </w: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制定意外事故的防范措施和应急预案</w:t>
            </w:r>
            <w:r>
              <w:rPr>
                <w:rFonts w:eastAsia="仿宋"/>
                <w:color w:val="0D0D0D" w:themeColor="text1" w:themeTint="F2"/>
                <w:kern w:val="0"/>
                <w:szCs w:val="21"/>
                <w14:textFill>
                  <w14:solidFill>
                    <w14:schemeClr w14:val="tx1">
                      <w14:lumMod w14:val="95000"/>
                      <w14:lumOff w14:val="5000"/>
                    </w14:schemeClr>
                  </w14:solidFill>
                </w14:textFill>
              </w:rPr>
              <w:t>，并向所在地生态环境主管部门</w:t>
            </w:r>
            <w:r>
              <w:rPr>
                <w:rFonts w:eastAsia="仿宋"/>
                <w:bCs/>
                <w:color w:val="0D0D0D" w:themeColor="text1" w:themeTint="F2"/>
                <w:kern w:val="0"/>
                <w:szCs w:val="21"/>
                <w14:textFill>
                  <w14:solidFill>
                    <w14:schemeClr w14:val="tx1">
                      <w14:lumMod w14:val="95000"/>
                      <w14:lumOff w14:val="5000"/>
                    </w14:schemeClr>
                  </w14:solidFill>
                </w14:textFill>
              </w:rPr>
              <w:t>备案；</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72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贮存站应有具体的管理办法并将贮存站安全运行、实验室危险废物出站转运等日常管理工作落实到相关人员的岗位职责中；</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73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贮存</w:t>
            </w:r>
            <w:r>
              <w:rPr>
                <w:rFonts w:eastAsia="仿宋"/>
                <w:bCs/>
                <w:color w:val="0D0D0D" w:themeColor="text1" w:themeTint="F2"/>
                <w:kern w:val="0"/>
                <w:szCs w:val="21"/>
                <w14:textFill>
                  <w14:solidFill>
                    <w14:schemeClr w14:val="tx1">
                      <w14:lumMod w14:val="95000"/>
                      <w14:lumOff w14:val="5000"/>
                    </w14:schemeClr>
                  </w14:solidFill>
                </w14:textFill>
              </w:rPr>
              <w:t>设施、场所</w:t>
            </w:r>
            <w:r>
              <w:rPr>
                <w:rFonts w:eastAsia="仿宋"/>
                <w:color w:val="0D0D0D" w:themeColor="text1" w:themeTint="F2"/>
                <w:kern w:val="0"/>
                <w:szCs w:val="21"/>
                <w14:textFill>
                  <w14:solidFill>
                    <w14:schemeClr w14:val="tx1">
                      <w14:lumMod w14:val="95000"/>
                      <w14:lumOff w14:val="5000"/>
                    </w14:schemeClr>
                  </w14:solidFill>
                </w14:textFill>
              </w:rPr>
              <w:t>应当按照规定</w:t>
            </w:r>
            <w:r>
              <w:rPr>
                <w:rFonts w:eastAsia="仿宋"/>
                <w:bCs/>
                <w:color w:val="0D0D0D" w:themeColor="text1" w:themeTint="F2"/>
                <w:kern w:val="0"/>
                <w:szCs w:val="21"/>
                <w14:textFill>
                  <w14:solidFill>
                    <w14:schemeClr w14:val="tx1">
                      <w14:lumMod w14:val="95000"/>
                      <w14:lumOff w14:val="5000"/>
                    </w14:schemeClr>
                  </w14:solidFill>
                </w14:textFill>
              </w:rPr>
              <w:t>设置危险废物识别标志</w:t>
            </w:r>
            <w:r>
              <w:rPr>
                <w:rFonts w:eastAsia="仿宋"/>
                <w:color w:val="0D0D0D" w:themeColor="text1" w:themeTint="F2"/>
                <w:kern w:val="0"/>
                <w:szCs w:val="21"/>
                <w14:textFill>
                  <w14:solidFill>
                    <w14:schemeClr w14:val="tx1">
                      <w14:lumMod w14:val="95000"/>
                      <w14:lumOff w14:val="5000"/>
                    </w14:schemeClr>
                  </w14:solidFill>
                </w14:textFill>
              </w:rPr>
              <w:t>；</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74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贮存站管理员须作好实验室危险废物</w:t>
            </w:r>
            <w:r>
              <w:rPr>
                <w:rFonts w:hint="eastAsia" w:eastAsia="仿宋"/>
                <w:color w:val="0D0D0D" w:themeColor="text1" w:themeTint="F2"/>
                <w:kern w:val="0"/>
                <w:szCs w:val="21"/>
                <w14:textFill>
                  <w14:solidFill>
                    <w14:schemeClr w14:val="tx1">
                      <w14:lumMod w14:val="95000"/>
                      <w14:lumOff w14:val="5000"/>
                    </w14:schemeClr>
                  </w14:solidFill>
                </w14:textFill>
              </w:rPr>
              <w:t>收集及外送</w:t>
            </w:r>
            <w:r>
              <w:rPr>
                <w:rFonts w:eastAsia="仿宋"/>
                <w:color w:val="0D0D0D" w:themeColor="text1" w:themeTint="F2"/>
                <w:kern w:val="0"/>
                <w:szCs w:val="21"/>
                <w14:textFill>
                  <w14:solidFill>
                    <w14:schemeClr w14:val="tx1">
                      <w14:lumMod w14:val="95000"/>
                      <w14:lumOff w14:val="5000"/>
                    </w14:schemeClr>
                  </w14:solidFill>
                </w14:textFill>
              </w:rPr>
              <w:t>情况的记录</w:t>
            </w:r>
          </w:p>
        </w:tc>
        <w:tc>
          <w:tcPr>
            <w:tcW w:w="2543" w:type="dxa"/>
            <w:tcMar>
              <w:left w:w="45" w:type="dxa"/>
              <w:right w:w="45" w:type="dxa"/>
            </w:tcMar>
            <w:vAlign w:val="center"/>
          </w:tcPr>
          <w:p>
            <w:pPr>
              <w:widowControl/>
              <w:spacing w:line="300" w:lineRule="exact"/>
              <w:rPr>
                <w:rFonts w:ascii="仿宋" w:hAnsi="仿宋"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b/>
                <w:bCs/>
                <w:color w:val="0D0D0D" w:themeColor="text1" w:themeTint="F2"/>
                <w:kern w:val="0"/>
                <w:szCs w:val="21"/>
                <w14:textFill>
                  <w14:solidFill>
                    <w14:schemeClr w14:val="tx1">
                      <w14:lumMod w14:val="95000"/>
                      <w14:lumOff w14:val="5000"/>
                    </w14:schemeClr>
                  </w14:solidFill>
                </w14:textFill>
              </w:rPr>
              <w:t>8.7</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5"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8.7.1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学校建有危险品仓库、化学实验废弃物贮存站，对废弃物集中定点存放</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75</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危险品仓库、化学实验废弃物贮存站须有通风、隔热、避光、防盗、防爆、防静电、泄露报警、应急喷淋、安全警示标识等技防措施，符合相关规定，专人管理；</w:t>
            </w:r>
          </w:p>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76</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危险品仓库、化学实验废弃物贮存站</w:t>
            </w:r>
            <w:r>
              <w:rPr>
                <w:rFonts w:hint="eastAsia" w:eastAsia="仿宋"/>
                <w:color w:val="0D0D0D" w:themeColor="text1" w:themeTint="F2"/>
                <w:kern w:val="0"/>
                <w:szCs w:val="21"/>
                <w14:textFill>
                  <w14:solidFill>
                    <w14:schemeClr w14:val="tx1">
                      <w14:lumMod w14:val="95000"/>
                      <w14:lumOff w14:val="5000"/>
                    </w14:schemeClr>
                  </w14:solidFill>
                </w14:textFill>
              </w:rPr>
              <w:t>的</w:t>
            </w:r>
            <w:r>
              <w:rPr>
                <w:rFonts w:eastAsia="仿宋"/>
                <w:color w:val="0D0D0D" w:themeColor="text1" w:themeTint="F2"/>
                <w:kern w:val="0"/>
                <w:szCs w:val="21"/>
                <w14:textFill>
                  <w14:solidFill>
                    <w14:schemeClr w14:val="tx1">
                      <w14:lumMod w14:val="95000"/>
                      <w14:lumOff w14:val="5000"/>
                    </w14:schemeClr>
                  </w14:solidFill>
                </w14:textFill>
              </w:rPr>
              <w:t>消防</w:t>
            </w:r>
            <w:r>
              <w:rPr>
                <w:rFonts w:eastAsia="仿宋"/>
                <w:color w:val="0D0D0D" w:themeColor="text1" w:themeTint="F2"/>
                <w:szCs w:val="21"/>
                <w14:textFill>
                  <w14:solidFill>
                    <w14:schemeClr w14:val="tx1">
                      <w14:lumMod w14:val="95000"/>
                      <w14:lumOff w14:val="5000"/>
                    </w14:schemeClr>
                  </w14:solidFill>
                </w14:textFill>
              </w:rPr>
              <w:t>设施符合国家相关规定，正确配备灭火器材（如灭火器、灭火毯、</w:t>
            </w:r>
            <w:r>
              <w:rPr>
                <w:rFonts w:hint="eastAsia" w:eastAsia="仿宋"/>
                <w:color w:val="0D0D0D" w:themeColor="text1" w:themeTint="F2"/>
                <w:szCs w:val="21"/>
                <w14:textFill>
                  <w14:solidFill>
                    <w14:schemeClr w14:val="tx1">
                      <w14:lumMod w14:val="95000"/>
                      <w14:lumOff w14:val="5000"/>
                    </w14:schemeClr>
                  </w14:solidFill>
                </w14:textFill>
              </w:rPr>
              <w:t>砂</w:t>
            </w:r>
            <w:r>
              <w:rPr>
                <w:rFonts w:eastAsia="仿宋"/>
                <w:color w:val="0D0D0D" w:themeColor="text1" w:themeTint="F2"/>
                <w:szCs w:val="21"/>
                <w14:textFill>
                  <w14:solidFill>
                    <w14:schemeClr w14:val="tx1">
                      <w14:lumMod w14:val="95000"/>
                      <w14:lumOff w14:val="5000"/>
                    </w14:schemeClr>
                  </w14:solidFill>
                </w14:textFill>
              </w:rPr>
              <w:t>箱、自动喷淋等）；</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szCs w:val="21"/>
                <w14:textFill>
                  <w14:solidFill>
                    <w14:schemeClr w14:val="tx1">
                      <w14:lumMod w14:val="95000"/>
                      <w14:lumOff w14:val="5000"/>
                    </w14:schemeClr>
                  </w14:solidFill>
                </w14:textFill>
              </w:rPr>
              <w:t>（1</w:t>
            </w:r>
            <w:r>
              <w:rPr>
                <w:rFonts w:eastAsia="仿宋"/>
                <w:color w:val="0D0D0D" w:themeColor="text1" w:themeTint="F2"/>
                <w:szCs w:val="21"/>
                <w14:textFill>
                  <w14:solidFill>
                    <w14:schemeClr w14:val="tx1">
                      <w14:lumMod w14:val="95000"/>
                      <w14:lumOff w14:val="5000"/>
                    </w14:schemeClr>
                  </w14:solidFill>
                </w14:textFill>
              </w:rPr>
              <w:t>77</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危险品仓库、化学实验废弃物贮存站</w:t>
            </w:r>
            <w:r>
              <w:rPr>
                <w:rFonts w:hint="eastAsia" w:eastAsia="仿宋"/>
                <w:color w:val="0D0D0D" w:themeColor="text1" w:themeTint="F2"/>
                <w:kern w:val="0"/>
                <w:szCs w:val="21"/>
                <w14:textFill>
                  <w14:solidFill>
                    <w14:schemeClr w14:val="tx1">
                      <w14:lumMod w14:val="95000"/>
                      <w14:lumOff w14:val="5000"/>
                    </w14:schemeClr>
                  </w14:solidFill>
                </w14:textFill>
              </w:rPr>
              <w:t>不能建设在地下室空间，</w:t>
            </w:r>
            <w:r>
              <w:rPr>
                <w:rFonts w:eastAsia="仿宋"/>
                <w:color w:val="0D0D0D" w:themeColor="text1" w:themeTint="F2"/>
                <w:kern w:val="0"/>
                <w:szCs w:val="21"/>
                <w14:textFill>
                  <w14:solidFill>
                    <w14:schemeClr w14:val="tx1">
                      <w14:lumMod w14:val="95000"/>
                      <w14:lumOff w14:val="5000"/>
                    </w14:schemeClr>
                  </w14:solidFill>
                </w14:textFill>
              </w:rPr>
              <w:t>若在实验楼内，必须有警示、通风、隔热、避光、防盗、防爆、防静电、泄露报警、应急喷淋等技防措施，面积不超过30平方米；</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78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危险品仓库</w:t>
            </w:r>
            <w:r>
              <w:rPr>
                <w:rFonts w:hint="eastAsia" w:eastAsia="仿宋"/>
                <w:color w:val="0D0D0D" w:themeColor="text1" w:themeTint="F2"/>
                <w:kern w:val="0"/>
                <w:szCs w:val="21"/>
                <w14:textFill>
                  <w14:solidFill>
                    <w14:schemeClr w14:val="tx1">
                      <w14:lumMod w14:val="95000"/>
                      <w14:lumOff w14:val="5000"/>
                    </w14:schemeClr>
                  </w14:solidFill>
                </w14:textFill>
              </w:rPr>
              <w:t>的试剂</w:t>
            </w:r>
            <w:r>
              <w:rPr>
                <w:rFonts w:eastAsia="仿宋"/>
                <w:color w:val="0D0D0D" w:themeColor="text1" w:themeTint="F2"/>
                <w:kern w:val="0"/>
                <w:szCs w:val="21"/>
                <w14:textFill>
                  <w14:solidFill>
                    <w14:schemeClr w14:val="tx1">
                      <w14:lumMod w14:val="95000"/>
                      <w14:lumOff w14:val="5000"/>
                    </w14:schemeClr>
                  </w14:solidFill>
                </w14:textFill>
              </w:rPr>
              <w:t>不混放</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整箱试剂的叠加高度不大于1.5米</w:t>
            </w:r>
          </w:p>
        </w:tc>
        <w:tc>
          <w:tcPr>
            <w:tcW w:w="2543" w:type="dxa"/>
            <w:tcMar>
              <w:left w:w="45" w:type="dxa"/>
              <w:right w:w="45" w:type="dxa"/>
            </w:tcMar>
            <w:vAlign w:val="center"/>
          </w:tcPr>
          <w:p>
            <w:pPr>
              <w:widowControl/>
              <w:spacing w:line="300" w:lineRule="exact"/>
              <w:jc w:val="left"/>
              <w:rPr>
                <w:rFonts w:ascii="仿宋" w:hAnsi="仿宋"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8.8</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8.8.1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配制试剂需要张贴标签</w:t>
            </w:r>
          </w:p>
        </w:tc>
        <w:tc>
          <w:tcPr>
            <w:tcW w:w="7660" w:type="dxa"/>
            <w:tcMar>
              <w:left w:w="45" w:type="dxa"/>
              <w:right w:w="45" w:type="dxa"/>
            </w:tcMar>
            <w:vAlign w:val="center"/>
          </w:tcPr>
          <w:p>
            <w:pPr>
              <w:widowControl/>
              <w:rPr>
                <w:rFonts w:eastAsia="仿宋"/>
                <w:color w:val="0D0D0D" w:themeColor="text1" w:themeTint="F2"/>
                <w:kern w:val="0"/>
                <w14:textFill>
                  <w14:solidFill>
                    <w14:schemeClr w14:val="tx1">
                      <w14:lumMod w14:val="95000"/>
                      <w14:lumOff w14:val="5000"/>
                    </w14:schemeClr>
                  </w14:solidFill>
                </w14:textFill>
              </w:rPr>
            </w:pPr>
            <w:r>
              <w:rPr>
                <w:rFonts w:hint="eastAsia" w:eastAsia="仿宋"/>
                <w:color w:val="0D0D0D" w:themeColor="text1" w:themeTint="F2"/>
                <w:kern w:val="0"/>
                <w14:textFill>
                  <w14:solidFill>
                    <w14:schemeClr w14:val="tx1">
                      <w14:lumMod w14:val="95000"/>
                      <w14:lumOff w14:val="5000"/>
                    </w14:schemeClr>
                  </w14:solidFill>
                </w14:textFill>
              </w:rPr>
              <w:t>（1</w:t>
            </w:r>
            <w:r>
              <w:rPr>
                <w:rFonts w:eastAsia="仿宋"/>
                <w:color w:val="0D0D0D" w:themeColor="text1" w:themeTint="F2"/>
                <w:kern w:val="0"/>
                <w14:textFill>
                  <w14:solidFill>
                    <w14:schemeClr w14:val="tx1">
                      <w14:lumMod w14:val="95000"/>
                      <w14:lumOff w14:val="5000"/>
                    </w14:schemeClr>
                  </w14:solidFill>
                </w14:textFill>
              </w:rPr>
              <w:t>79</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装有配制试剂、合成品、样品等的容器上标签信息明确，标签信息包括名称或编号、使用人、日期等；</w:t>
            </w:r>
          </w:p>
          <w:p>
            <w:pPr>
              <w:widowControl/>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14:textFill>
                  <w14:solidFill>
                    <w14:schemeClr w14:val="tx1">
                      <w14:lumMod w14:val="95000"/>
                      <w14:lumOff w14:val="5000"/>
                    </w14:schemeClr>
                  </w14:solidFill>
                </w14:textFill>
              </w:rPr>
              <w:t>（1</w:t>
            </w:r>
            <w:r>
              <w:rPr>
                <w:rFonts w:eastAsia="仿宋"/>
                <w:color w:val="0D0D0D" w:themeColor="text1" w:themeTint="F2"/>
                <w:kern w:val="0"/>
                <w14:textFill>
                  <w14:solidFill>
                    <w14:schemeClr w14:val="tx1">
                      <w14:lumMod w14:val="95000"/>
                      <w14:lumOff w14:val="5000"/>
                    </w14:schemeClr>
                  </w14:solidFill>
                </w14:textFill>
              </w:rPr>
              <w:t>80</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rPr>
                <w:rFonts w:ascii="仿宋" w:hAnsi="仿宋"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8.8.2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不使用破损量筒、试管、移液管等玻璃器皿</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bCs/>
                <w:color w:val="0D0D0D" w:themeColor="text1" w:themeTint="F2"/>
                <w:kern w:val="0"/>
                <w:szCs w:val="21"/>
                <w14:textFill>
                  <w14:solidFill>
                    <w14:schemeClr w14:val="tx1">
                      <w14:lumMod w14:val="95000"/>
                      <w14:lumOff w14:val="5000"/>
                    </w14:schemeClr>
                  </w14:solidFill>
                </w14:textFill>
              </w:rPr>
              <w:t>（1</w:t>
            </w:r>
            <w:r>
              <w:rPr>
                <w:rFonts w:eastAsia="仿宋"/>
                <w:bCs/>
                <w:color w:val="0D0D0D" w:themeColor="text1" w:themeTint="F2"/>
                <w:kern w:val="0"/>
                <w:szCs w:val="21"/>
                <w14:textFill>
                  <w14:solidFill>
                    <w14:schemeClr w14:val="tx1">
                      <w14:lumMod w14:val="95000"/>
                      <w14:lumOff w14:val="5000"/>
                    </w14:schemeClr>
                  </w14:solidFill>
                </w14:textFill>
              </w:rPr>
              <w:t>81</w:t>
            </w: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查看现场</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9</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9.1</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9.1.1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82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BSL-3/ABSL-3、BSL-4/ABSL-4实验室须经政府部门批准建设</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BSL-1/ ABSL-1、BSL-2/ ABSL-2 实验室由学校建设后报卫生或农业部门备案</w:t>
            </w:r>
          </w:p>
        </w:tc>
        <w:tc>
          <w:tcPr>
            <w:tcW w:w="2543" w:type="dxa"/>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9.1.2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在规定等级实验室中开展涉及病原微生物的实验</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szCs w:val="21"/>
                <w14:textFill>
                  <w14:solidFill>
                    <w14:schemeClr w14:val="tx1">
                      <w14:lumMod w14:val="95000"/>
                      <w14:lumOff w14:val="5000"/>
                    </w14:schemeClr>
                  </w14:solidFill>
                </w14:textFill>
              </w:rPr>
              <w:t>（1</w:t>
            </w:r>
            <w:r>
              <w:rPr>
                <w:rFonts w:eastAsia="仿宋"/>
                <w:color w:val="0D0D0D" w:themeColor="text1" w:themeTint="F2"/>
                <w:szCs w:val="21"/>
                <w14:textFill>
                  <w14:solidFill>
                    <w14:schemeClr w14:val="tx1">
                      <w14:lumMod w14:val="95000"/>
                      <w14:lumOff w14:val="5000"/>
                    </w14:schemeClr>
                  </w14:solidFill>
                </w14:textFill>
              </w:rPr>
              <w:t>83</w:t>
            </w:r>
            <w:r>
              <w:rPr>
                <w:rFonts w:hint="eastAsia" w:eastAsia="仿宋"/>
                <w:color w:val="0D0D0D" w:themeColor="text1" w:themeTint="F2"/>
                <w:szCs w:val="21"/>
                <w14:textFill>
                  <w14:solidFill>
                    <w14:schemeClr w14:val="tx1">
                      <w14:lumMod w14:val="95000"/>
                      <w14:lumOff w14:val="5000"/>
                    </w14:schemeClr>
                  </w14:solidFill>
                </w14:textFill>
              </w:rPr>
              <w:t>）以国家法律、法规、标准、规范，以及权威机构发布的指南、数据等为依据</w:t>
            </w:r>
            <w:r>
              <w:rPr>
                <w:rFonts w:hint="eastAsia" w:eastAsia="仿宋"/>
                <w:color w:val="0D0D0D" w:themeColor="text1" w:themeTint="F2"/>
                <w:kern w:val="0"/>
                <w:szCs w:val="21"/>
                <w14:textFill>
                  <w14:solidFill>
                    <w14:schemeClr w14:val="tx1">
                      <w14:lumMod w14:val="95000"/>
                      <w14:lumOff w14:val="5000"/>
                    </w14:schemeClr>
                  </w14:solidFill>
                </w14:textFill>
              </w:rPr>
              <w:t>，对涉及的致病性生物因子进行风险评估，选择</w:t>
            </w:r>
            <w:r>
              <w:rPr>
                <w:rFonts w:eastAsia="仿宋"/>
                <w:color w:val="0D0D0D" w:themeColor="text1" w:themeTint="F2"/>
                <w:kern w:val="0"/>
                <w:szCs w:val="21"/>
                <w14:textFill>
                  <w14:solidFill>
                    <w14:schemeClr w14:val="tx1">
                      <w14:lumMod w14:val="95000"/>
                      <w14:lumOff w14:val="5000"/>
                    </w14:schemeClr>
                  </w14:solidFill>
                </w14:textFill>
              </w:rPr>
              <w:t>对应的实验室安全级别进行致病性病原微生物研究，重点关注：开展未经灭活的高致病性病原微生物（列入一类、二类）相关实验和研究，必须在BSL-3/ABSL-3、BSL-4/ABSL-4实验室中进行</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9.2</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9.2.1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实验室安全防范设施达到相应生物安全实验室要求，各区域分布合理、气压正常</w:t>
            </w:r>
          </w:p>
        </w:tc>
        <w:tc>
          <w:tcPr>
            <w:tcW w:w="7660" w:type="dxa"/>
            <w:tcMar>
              <w:left w:w="45" w:type="dxa"/>
              <w:right w:w="45" w:type="dxa"/>
            </w:tcMar>
            <w:vAlign w:val="center"/>
          </w:tcPr>
          <w:p>
            <w:pPr>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84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BSL-2/ABSL-2及以上安全等级实验室须设门禁管理和准入制度</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储存病原微生物的场所或储柜配备防盗设施</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BSL-3/ABSL-3及以上安全等级实验室须</w:t>
            </w:r>
            <w:r>
              <w:rPr>
                <w:rFonts w:eastAsia="仿宋"/>
                <w:color w:val="0D0D0D" w:themeColor="text1" w:themeTint="F2"/>
                <w:kern w:val="0"/>
                <w:szCs w:val="21"/>
                <w14:textFill>
                  <w14:solidFill>
                    <w14:schemeClr w14:val="tx1">
                      <w14:lumMod w14:val="95000"/>
                      <w14:lumOff w14:val="5000"/>
                    </w14:schemeClr>
                  </w14:solidFill>
                </w14:textFill>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color w:val="0D0D0D" w:themeColor="text1" w:themeTint="F2"/>
                <w:kern w:val="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9.2.2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配有符合相应要求的生物安全设施</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185</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BSL-2/ABSL-2及以上安全等级实验室须配有II级生物安全柜，定期进行检测</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B型生物安全柜需有正常通风系统</w:t>
            </w:r>
            <w:r>
              <w:rPr>
                <w:rFonts w:hint="eastAsia" w:eastAsia="仿宋"/>
                <w:bCs/>
                <w:color w:val="0D0D0D" w:themeColor="text1" w:themeTint="F2"/>
                <w:kern w:val="0"/>
                <w:szCs w:val="21"/>
                <w14:textFill>
                  <w14:solidFill>
                    <w14:schemeClr w14:val="tx1">
                      <w14:lumMod w14:val="95000"/>
                      <w14:lumOff w14:val="5000"/>
                    </w14:schemeClr>
                  </w14:solidFill>
                </w14:textFill>
              </w:rPr>
              <w:t>；</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86</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BSL-2/ABSL-2及以上安全等级实验室</w:t>
            </w:r>
            <w:r>
              <w:rPr>
                <w:rFonts w:hint="eastAsia" w:eastAsia="仿宋"/>
                <w:color w:val="0D0D0D" w:themeColor="text1" w:themeTint="F2"/>
                <w:kern w:val="0"/>
                <w:szCs w:val="21"/>
                <w14:textFill>
                  <w14:solidFill>
                    <w14:schemeClr w14:val="tx1">
                      <w14:lumMod w14:val="95000"/>
                      <w14:lumOff w14:val="5000"/>
                    </w14:schemeClr>
                  </w14:solidFill>
                </w14:textFill>
              </w:rPr>
              <w:t>应</w:t>
            </w:r>
            <w:r>
              <w:rPr>
                <w:rFonts w:eastAsia="仿宋"/>
                <w:color w:val="0D0D0D" w:themeColor="text1" w:themeTint="F2"/>
                <w:kern w:val="0"/>
                <w:szCs w:val="21"/>
                <w14:textFill>
                  <w14:solidFill>
                    <w14:schemeClr w14:val="tx1">
                      <w14:lumMod w14:val="95000"/>
                      <w14:lumOff w14:val="5000"/>
                    </w14:schemeClr>
                  </w14:solidFill>
                </w14:textFill>
              </w:rPr>
              <w:t>配备消防器材和设施、应急供电（至少延时半小时），必要的应急淋浴及洗眼装置</w:t>
            </w:r>
            <w:r>
              <w:rPr>
                <w:rFonts w:hint="eastAsia" w:eastAsia="仿宋"/>
                <w:color w:val="0D0D0D" w:themeColor="text1" w:themeTint="F2"/>
                <w:kern w:val="0"/>
                <w:szCs w:val="21"/>
                <w14:textFill>
                  <w14:solidFill>
                    <w14:schemeClr w14:val="tx1">
                      <w14:lumMod w14:val="95000"/>
                      <w14:lumOff w14:val="5000"/>
                    </w14:schemeClr>
                  </w14:solidFill>
                </w14:textFill>
              </w:rPr>
              <w:t>；</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87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BSL-2/ABSL-2及以上安全等级实验室</w:t>
            </w:r>
            <w:r>
              <w:rPr>
                <w:rFonts w:hint="eastAsia" w:eastAsia="仿宋"/>
                <w:color w:val="0D0D0D" w:themeColor="text1" w:themeTint="F2"/>
                <w:kern w:val="0"/>
                <w:szCs w:val="21"/>
                <w14:textFill>
                  <w14:solidFill>
                    <w14:schemeClr w14:val="tx1">
                      <w14:lumMod w14:val="95000"/>
                      <w14:lumOff w14:val="5000"/>
                    </w14:schemeClr>
                  </w14:solidFill>
                </w14:textFill>
              </w:rPr>
              <w:t>的</w:t>
            </w:r>
            <w:r>
              <w:rPr>
                <w:rFonts w:eastAsia="仿宋"/>
                <w:color w:val="0D0D0D" w:themeColor="text1" w:themeTint="F2"/>
                <w:kern w:val="0"/>
                <w:szCs w:val="21"/>
                <w14:textFill>
                  <w14:solidFill>
                    <w14:schemeClr w14:val="tx1">
                      <w14:lumMod w14:val="95000"/>
                      <w14:lumOff w14:val="5000"/>
                    </w14:schemeClr>
                  </w14:solidFill>
                </w14:textFill>
              </w:rPr>
              <w:t>传递窗功能正常、内部不存放物品</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安装有防虫纱窗、入口处有挡鼠板</w:t>
            </w:r>
            <w:r>
              <w:rPr>
                <w:rFonts w:hint="eastAsia" w:eastAsia="仿宋"/>
                <w:color w:val="0D0D0D" w:themeColor="text1" w:themeTint="F2"/>
                <w:kern w:val="0"/>
                <w:szCs w:val="21"/>
                <w14:textFill>
                  <w14:solidFill>
                    <w14:schemeClr w14:val="tx1">
                      <w14:lumMod w14:val="95000"/>
                      <w14:lumOff w14:val="5000"/>
                    </w14:schemeClr>
                  </w14:solidFill>
                </w14:textFill>
              </w:rPr>
              <w:t>；</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88</w:t>
            </w:r>
            <w:r>
              <w:rPr>
                <w:rFonts w:hint="eastAsia" w:eastAsia="仿宋"/>
                <w:color w:val="0D0D0D" w:themeColor="text1" w:themeTint="F2"/>
                <w:kern w:val="0"/>
                <w:szCs w:val="21"/>
                <w14:textFill>
                  <w14:solidFill>
                    <w14:schemeClr w14:val="tx1">
                      <w14:lumMod w14:val="95000"/>
                      <w14:lumOff w14:val="5000"/>
                    </w14:schemeClr>
                  </w14:solidFill>
                </w14:textFill>
              </w:rPr>
              <w:t>）生物安全实验室</w:t>
            </w:r>
            <w:r>
              <w:rPr>
                <w:rFonts w:eastAsia="仿宋"/>
                <w:color w:val="0D0D0D" w:themeColor="text1" w:themeTint="F2"/>
                <w:kern w:val="0"/>
                <w:szCs w:val="21"/>
                <w14:textFill>
                  <w14:solidFill>
                    <w14:schemeClr w14:val="tx1">
                      <w14:lumMod w14:val="95000"/>
                      <w14:lumOff w14:val="5000"/>
                    </w14:schemeClr>
                  </w14:solidFill>
                </w14:textFill>
              </w:rPr>
              <w:t>配有压力蒸汽灭菌器</w:t>
            </w:r>
            <w:r>
              <w:rPr>
                <w:rFonts w:hint="eastAsia" w:eastAsia="仿宋"/>
                <w:color w:val="0D0D0D" w:themeColor="text1" w:themeTint="F2"/>
                <w:kern w:val="0"/>
                <w:szCs w:val="21"/>
                <w14:textFill>
                  <w14:solidFill>
                    <w14:schemeClr w14:val="tx1">
                      <w14:lumMod w14:val="95000"/>
                      <w14:lumOff w14:val="5000"/>
                    </w14:schemeClr>
                  </w14:solidFill>
                </w14:textFill>
              </w:rPr>
              <w:t>，每次使用时</w:t>
            </w:r>
            <w:r>
              <w:rPr>
                <w:rFonts w:eastAsia="仿宋"/>
                <w:color w:val="0D0D0D" w:themeColor="text1" w:themeTint="F2"/>
                <w:kern w:val="0"/>
                <w:szCs w:val="21"/>
                <w14:textFill>
                  <w14:solidFill>
                    <w14:schemeClr w14:val="tx1">
                      <w14:lumMod w14:val="95000"/>
                      <w14:lumOff w14:val="5000"/>
                    </w14:schemeClr>
                  </w14:solidFill>
                </w14:textFill>
              </w:rPr>
              <w:t>监测灭菌效果</w:t>
            </w:r>
          </w:p>
        </w:tc>
        <w:tc>
          <w:tcPr>
            <w:tcW w:w="2543" w:type="dxa"/>
            <w:tcMar>
              <w:left w:w="45" w:type="dxa"/>
              <w:right w:w="45" w:type="dxa"/>
            </w:tcMar>
            <w:vAlign w:val="center"/>
          </w:tcPr>
          <w:p>
            <w:pPr>
              <w:widowControl/>
              <w:spacing w:line="300" w:lineRule="exact"/>
              <w:rPr>
                <w:rFonts w:ascii="仿宋" w:hAnsi="仿宋" w:eastAsia="仿宋"/>
                <w:b/>
                <w:bCs/>
                <w:color w:val="0D0D0D" w:themeColor="text1" w:themeTint="F2"/>
                <w:kern w:val="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9.2.3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场所消毒要保证人员安全</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189</w:t>
            </w:r>
            <w:r>
              <w:rPr>
                <w:rFonts w:hint="eastAsia" w:eastAsia="仿宋"/>
                <w:color w:val="0D0D0D" w:themeColor="text1" w:themeTint="F2"/>
                <w:kern w:val="0"/>
                <w:szCs w:val="21"/>
                <w14:textFill>
                  <w14:solidFill>
                    <w14:schemeClr w14:val="tx1">
                      <w14:lumMod w14:val="95000"/>
                      <w14:lumOff w14:val="5000"/>
                    </w14:schemeClr>
                  </w14:solidFill>
                </w14:textFill>
              </w:rPr>
              <w:t>）使用紫外灯的生物安全实验室应设安全警示标志，尤其应对</w:t>
            </w:r>
            <w:r>
              <w:rPr>
                <w:rFonts w:eastAsia="仿宋"/>
                <w:color w:val="0D0D0D" w:themeColor="text1" w:themeTint="F2"/>
                <w:kern w:val="0"/>
                <w:szCs w:val="21"/>
                <w14:textFill>
                  <w14:solidFill>
                    <w14:schemeClr w14:val="tx1">
                      <w14:lumMod w14:val="95000"/>
                      <w14:lumOff w14:val="5000"/>
                    </w14:schemeClr>
                  </w14:solidFill>
                </w14:textFill>
              </w:rPr>
              <w:t>紫外灯开关</w:t>
            </w:r>
            <w:r>
              <w:rPr>
                <w:rFonts w:hint="eastAsia" w:eastAsia="仿宋"/>
                <w:color w:val="0D0D0D" w:themeColor="text1" w:themeTint="F2"/>
                <w:kern w:val="0"/>
                <w:szCs w:val="21"/>
                <w14:textFill>
                  <w14:solidFill>
                    <w14:schemeClr w14:val="tx1">
                      <w14:lumMod w14:val="95000"/>
                      <w14:lumOff w14:val="5000"/>
                    </w14:schemeClr>
                  </w14:solidFill>
                </w14:textFill>
              </w:rPr>
              <w:t>张贴</w:t>
            </w:r>
            <w:r>
              <w:rPr>
                <w:rFonts w:eastAsia="仿宋"/>
                <w:color w:val="0D0D0D" w:themeColor="text1" w:themeTint="F2"/>
                <w:kern w:val="0"/>
                <w:szCs w:val="21"/>
                <w14:textFill>
                  <w14:solidFill>
                    <w14:schemeClr w14:val="tx1">
                      <w14:lumMod w14:val="95000"/>
                      <w14:lumOff w14:val="5000"/>
                    </w14:schemeClr>
                  </w14:solidFill>
                </w14:textFill>
              </w:rPr>
              <w:t>警示标识</w:t>
            </w:r>
            <w:r>
              <w:rPr>
                <w:rFonts w:hint="eastAsia" w:eastAsia="仿宋"/>
                <w:color w:val="0D0D0D" w:themeColor="text1" w:themeTint="F2"/>
                <w:kern w:val="0"/>
                <w:szCs w:val="21"/>
                <w14:textFill>
                  <w14:solidFill>
                    <w14:schemeClr w14:val="tx1">
                      <w14:lumMod w14:val="95000"/>
                      <w14:lumOff w14:val="5000"/>
                    </w14:schemeClr>
                  </w14:solidFill>
                </w14:textFill>
              </w:rPr>
              <w:t>；</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90</w:t>
            </w:r>
            <w:r>
              <w:rPr>
                <w:rFonts w:hint="eastAsia" w:eastAsia="仿宋"/>
                <w:color w:val="0D0D0D" w:themeColor="text1" w:themeTint="F2"/>
                <w:kern w:val="0"/>
                <w:szCs w:val="21"/>
                <w14:textFill>
                  <w14:solidFill>
                    <w14:schemeClr w14:val="tx1">
                      <w14:lumMod w14:val="95000"/>
                      <w14:lumOff w14:val="5000"/>
                    </w14:schemeClr>
                  </w14:solidFill>
                </w14:textFill>
              </w:rPr>
              <w:t>）使用紫外灯的生物安全实验室在</w:t>
            </w:r>
            <w:r>
              <w:rPr>
                <w:rFonts w:eastAsia="仿宋"/>
                <w:color w:val="0D0D0D" w:themeColor="text1" w:themeTint="F2"/>
                <w:kern w:val="0"/>
                <w:szCs w:val="21"/>
                <w14:textFill>
                  <w14:solidFill>
                    <w14:schemeClr w14:val="tx1">
                      <w14:lumMod w14:val="95000"/>
                      <w14:lumOff w14:val="5000"/>
                    </w14:schemeClr>
                  </w14:solidFill>
                </w14:textFill>
              </w:rPr>
              <w:t>消毒过程中</w:t>
            </w:r>
            <w:r>
              <w:rPr>
                <w:rFonts w:hint="eastAsia" w:eastAsia="仿宋"/>
                <w:color w:val="0D0D0D" w:themeColor="text1" w:themeTint="F2"/>
                <w:kern w:val="0"/>
                <w:szCs w:val="21"/>
                <w14:textFill>
                  <w14:solidFill>
                    <w14:schemeClr w14:val="tx1">
                      <w14:lumMod w14:val="95000"/>
                      <w14:lumOff w14:val="5000"/>
                    </w14:schemeClr>
                  </w14:solidFill>
                </w14:textFill>
              </w:rPr>
              <w:t>禁止</w:t>
            </w:r>
            <w:r>
              <w:rPr>
                <w:rFonts w:eastAsia="仿宋"/>
                <w:color w:val="0D0D0D" w:themeColor="text1" w:themeTint="F2"/>
                <w:kern w:val="0"/>
                <w:szCs w:val="21"/>
                <w14:textFill>
                  <w14:solidFill>
                    <w14:schemeClr w14:val="tx1">
                      <w14:lumMod w14:val="95000"/>
                      <w14:lumOff w14:val="5000"/>
                    </w14:schemeClr>
                  </w14:solidFill>
                </w14:textFill>
              </w:rPr>
              <w:t>人员进入</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采用紫外加臭氧方式消毒应在消毒时间结束后有一定的排风时间，臭氧消散后人员</w:t>
            </w:r>
            <w:r>
              <w:rPr>
                <w:rFonts w:hint="eastAsia" w:eastAsia="仿宋"/>
                <w:color w:val="0D0D0D" w:themeColor="text1" w:themeTint="F2"/>
                <w:kern w:val="0"/>
                <w:szCs w:val="21"/>
                <w14:textFill>
                  <w14:solidFill>
                    <w14:schemeClr w14:val="tx1">
                      <w14:lumMod w14:val="95000"/>
                      <w14:lumOff w14:val="5000"/>
                    </w14:schemeClr>
                  </w14:solidFill>
                </w14:textFill>
              </w:rPr>
              <w:t>方可</w:t>
            </w:r>
            <w:r>
              <w:rPr>
                <w:rFonts w:eastAsia="仿宋"/>
                <w:color w:val="0D0D0D" w:themeColor="text1" w:themeTint="F2"/>
                <w:kern w:val="0"/>
                <w:szCs w:val="21"/>
                <w14:textFill>
                  <w14:solidFill>
                    <w14:schemeClr w14:val="tx1">
                      <w14:lumMod w14:val="95000"/>
                      <w14:lumOff w14:val="5000"/>
                    </w14:schemeClr>
                  </w14:solidFill>
                </w14:textFill>
              </w:rPr>
              <w:t>进入</w:t>
            </w:r>
          </w:p>
        </w:tc>
        <w:tc>
          <w:tcPr>
            <w:tcW w:w="2543" w:type="dxa"/>
            <w:tcMar>
              <w:left w:w="45" w:type="dxa"/>
              <w:right w:w="45" w:type="dxa"/>
            </w:tcMar>
            <w:vAlign w:val="center"/>
          </w:tcPr>
          <w:p>
            <w:pPr>
              <w:pStyle w:val="6"/>
              <w:jc w:val="both"/>
              <w:rPr>
                <w:rFonts w:ascii="Times New Roman" w:hAnsi="Times New Roman" w:eastAsia="仿宋"/>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9.3</w:t>
            </w:r>
          </w:p>
        </w:tc>
        <w:tc>
          <w:tcPr>
            <w:tcW w:w="14023" w:type="dxa"/>
            <w:gridSpan w:val="3"/>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r>
              <w:rPr>
                <w:rFonts w:eastAsia="仿宋"/>
                <w:b/>
                <w:bCs/>
                <w:color w:val="0D0D0D" w:themeColor="text1" w:themeTint="F2"/>
                <w:kern w:val="0"/>
                <w:szCs w:val="21"/>
                <w14:textFill>
                  <w14:solidFill>
                    <w14:schemeClr w14:val="tx1">
                      <w14:lumMod w14:val="95000"/>
                      <w14:lumOff w14:val="5000"/>
                    </w14:schemeClr>
                  </w14:solidFill>
                </w14:textFill>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9.3.1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191</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采购病原微生物须从有资质的单位购买，具有相应合格证书</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须按照学校流程审批，报行业主管部门批准</w:t>
            </w:r>
            <w:r>
              <w:rPr>
                <w:rFonts w:hint="eastAsia" w:eastAsia="仿宋"/>
                <w:color w:val="0D0D0D" w:themeColor="text1" w:themeTint="F2"/>
                <w:kern w:val="0"/>
                <w:szCs w:val="21"/>
                <w14:textFill>
                  <w14:solidFill>
                    <w14:schemeClr w14:val="tx1">
                      <w14:lumMod w14:val="95000"/>
                      <w14:lumOff w14:val="5000"/>
                    </w14:schemeClr>
                  </w14:solidFill>
                </w14:textFill>
              </w:rPr>
              <w:t>；</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92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转移和运输病原微生物需按规定报卫生和农业主管部门批准，并按相应的运输包装要求包装后转移和运输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9.3.2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193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病原微生物菌（毒）种保存在带锁冰箱或柜子中，高致病性病原微生物实行双人双锁管理</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9.4</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9.4.1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194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人员经考核合格，并取得证书</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9.4.2</w:t>
            </w:r>
          </w:p>
        </w:tc>
        <w:tc>
          <w:tcPr>
            <w:tcW w:w="3820"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195</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实施监测和治疗方案，并妥善保存相应的医学记录</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9.4.3</w:t>
            </w:r>
          </w:p>
        </w:tc>
        <w:tc>
          <w:tcPr>
            <w:tcW w:w="3820"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制定相应的人员准入制度</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196</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外来人员进入生物安全实验室需经负责人批准，并有相关的教育培训、安全防控措施</w:t>
            </w: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9.5</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9.5.1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197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9.5.2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开展相关实验活动的风险评估和应急预案</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198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BSL-2 /ABSL-2及以上等级实验室，开展病原微生物的相关实验活动应有风险评估和应急预案，包括</w:t>
            </w:r>
            <w:r>
              <w:rPr>
                <w:rFonts w:eastAsia="仿宋"/>
                <w:color w:val="0D0D0D" w:themeColor="text1" w:themeTint="F2"/>
                <w:szCs w:val="21"/>
                <w14:textFill>
                  <w14:solidFill>
                    <w14:schemeClr w14:val="tx1">
                      <w14:lumMod w14:val="95000"/>
                      <w14:lumOff w14:val="5000"/>
                    </w14:schemeClr>
                  </w14:solidFill>
                </w14:textFill>
              </w:rPr>
              <w:t>病原微生物及感染材料溢出和意外事故的书面处置程序</w:t>
            </w:r>
          </w:p>
        </w:tc>
        <w:tc>
          <w:tcPr>
            <w:tcW w:w="2543" w:type="dxa"/>
            <w:tcMar>
              <w:left w:w="45" w:type="dxa"/>
              <w:right w:w="45" w:type="dxa"/>
            </w:tcMar>
            <w:vAlign w:val="center"/>
          </w:tcPr>
          <w:p>
            <w:pPr>
              <w:widowControl/>
              <w:spacing w:line="300" w:lineRule="exact"/>
              <w:rPr>
                <w:rFonts w:ascii="仿宋" w:hAnsi="仿宋"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9.5.3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实验操作合规，安全防护措施合理</w:t>
            </w:r>
          </w:p>
        </w:tc>
        <w:tc>
          <w:tcPr>
            <w:tcW w:w="7660" w:type="dxa"/>
            <w:tcMar>
              <w:left w:w="45" w:type="dxa"/>
              <w:right w:w="45" w:type="dxa"/>
            </w:tcMar>
            <w:vAlign w:val="center"/>
          </w:tcPr>
          <w:p>
            <w:pPr>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（1</w:t>
            </w:r>
            <w:r>
              <w:rPr>
                <w:rFonts w:eastAsia="仿宋"/>
                <w:color w:val="0D0D0D" w:themeColor="text1" w:themeTint="F2"/>
                <w:kern w:val="0"/>
                <w:szCs w:val="21"/>
                <w14:textFill>
                  <w14:solidFill>
                    <w14:schemeClr w14:val="tx1">
                      <w14:lumMod w14:val="95000"/>
                      <w14:lumOff w14:val="5000"/>
                    </w14:schemeClr>
                  </w14:solidFill>
                </w14:textFill>
              </w:rPr>
              <w:t>99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在合适的生物安全柜中进行实验操作</w:t>
            </w:r>
            <w:r>
              <w:rPr>
                <w:rFonts w:eastAsia="仿宋"/>
                <w:bCs/>
                <w:color w:val="0D0D0D" w:themeColor="text1" w:themeTint="F2"/>
                <w:kern w:val="0"/>
                <w:szCs w:val="21"/>
                <w14:textFill>
                  <w14:solidFill>
                    <w14:schemeClr w14:val="tx1">
                      <w14:lumMod w14:val="95000"/>
                      <w14:lumOff w14:val="5000"/>
                    </w14:schemeClr>
                  </w14:solidFill>
                </w14:textFill>
              </w:rPr>
              <w:t>；不</w:t>
            </w:r>
            <w:r>
              <w:rPr>
                <w:rFonts w:hint="eastAsia" w:eastAsia="仿宋"/>
                <w:bCs/>
                <w:color w:val="0D0D0D" w:themeColor="text1" w:themeTint="F2"/>
                <w:kern w:val="0"/>
                <w:szCs w:val="21"/>
                <w14:textFill>
                  <w14:solidFill>
                    <w14:schemeClr w14:val="tx1">
                      <w14:lumMod w14:val="95000"/>
                      <w14:lumOff w14:val="5000"/>
                    </w14:schemeClr>
                  </w14:solidFill>
                </w14:textFill>
              </w:rPr>
              <w:t>得</w:t>
            </w:r>
            <w:r>
              <w:rPr>
                <w:rFonts w:eastAsia="仿宋"/>
                <w:bCs/>
                <w:color w:val="0D0D0D" w:themeColor="text1" w:themeTint="F2"/>
                <w:kern w:val="0"/>
                <w:szCs w:val="21"/>
                <w14:textFill>
                  <w14:solidFill>
                    <w14:schemeClr w14:val="tx1">
                      <w14:lumMod w14:val="95000"/>
                      <w14:lumOff w14:val="5000"/>
                    </w14:schemeClr>
                  </w14:solidFill>
                </w14:textFill>
              </w:rPr>
              <w:t>在超净工作台中进行病原微生物实验；</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bCs/>
                <w:color w:val="0D0D0D" w:themeColor="text1" w:themeTint="F2"/>
                <w:kern w:val="0"/>
                <w:szCs w:val="21"/>
                <w14:textFill>
                  <w14:solidFill>
                    <w14:schemeClr w14:val="tx1">
                      <w14:lumMod w14:val="95000"/>
                      <w14:lumOff w14:val="5000"/>
                    </w14:schemeClr>
                  </w14:solidFill>
                </w14:textFill>
              </w:rPr>
              <w:t>（2</w:t>
            </w:r>
            <w:r>
              <w:rPr>
                <w:rFonts w:eastAsia="仿宋"/>
                <w:bCs/>
                <w:color w:val="0D0D0D" w:themeColor="text1" w:themeTint="F2"/>
                <w:kern w:val="0"/>
                <w:szCs w:val="21"/>
                <w14:textFill>
                  <w14:solidFill>
                    <w14:schemeClr w14:val="tx1">
                      <w14:lumMod w14:val="95000"/>
                      <w14:lumOff w14:val="5000"/>
                    </w14:schemeClr>
                  </w14:solidFill>
                </w14:textFill>
              </w:rPr>
              <w:t>00</w:t>
            </w: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安全操作高速离心机，小心防止离心管破损或盖子破损造成溢出或气溶胶散发；</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01</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有合适的个人防护措施</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禁止戴防护手套操作</w:t>
            </w:r>
            <w:r>
              <w:rPr>
                <w:rFonts w:eastAsia="仿宋"/>
                <w:color w:val="0D0D0D" w:themeColor="text1" w:themeTint="F2"/>
                <w14:textFill>
                  <w14:solidFill>
                    <w14:schemeClr w14:val="tx1">
                      <w14:lumMod w14:val="95000"/>
                      <w14:lumOff w14:val="5000"/>
                    </w14:schemeClr>
                  </w14:solidFill>
                </w14:textFill>
              </w:rPr>
              <w:t>相关实验以外的</w:t>
            </w:r>
            <w:r>
              <w:rPr>
                <w:rFonts w:eastAsia="仿宋"/>
                <w:color w:val="0D0D0D" w:themeColor="text1" w:themeTint="F2"/>
                <w:szCs w:val="21"/>
                <w14:textFill>
                  <w14:solidFill>
                    <w14:schemeClr w14:val="tx1">
                      <w14:lumMod w14:val="95000"/>
                      <w14:lumOff w14:val="5000"/>
                    </w14:schemeClr>
                  </w14:solidFill>
                </w14:textFill>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color w:val="0D0D0D" w:themeColor="text1" w:themeTint="F2"/>
                <w:kern w:val="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9.6</w:t>
            </w:r>
          </w:p>
        </w:tc>
        <w:tc>
          <w:tcPr>
            <w:tcW w:w="14023" w:type="dxa"/>
            <w:gridSpan w:val="3"/>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9.6.1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实验动物的购买、饲养、解剖等须符合相关规定</w:t>
            </w:r>
          </w:p>
        </w:tc>
        <w:tc>
          <w:tcPr>
            <w:tcW w:w="7660"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02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饲养实验动物的场所应有资质证书</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实验动物需从具有资质的单位购买，有合格证明</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用于解剖的实验动物须经过检验检疫合格；</w:t>
            </w:r>
          </w:p>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hint="eastAsia" w:eastAsia="仿宋"/>
                <w:color w:val="0D0D0D" w:themeColor="text1" w:themeTint="F2"/>
                <w:szCs w:val="21"/>
                <w14:textFill>
                  <w14:solidFill>
                    <w14:schemeClr w14:val="tx1">
                      <w14:lumMod w14:val="95000"/>
                      <w14:lumOff w14:val="5000"/>
                    </w14:schemeClr>
                  </w14:solidFill>
                </w14:textFill>
              </w:rPr>
              <w:t>（2</w:t>
            </w:r>
            <w:r>
              <w:rPr>
                <w:rFonts w:eastAsia="仿宋"/>
                <w:color w:val="0D0D0D" w:themeColor="text1" w:themeTint="F2"/>
                <w:szCs w:val="21"/>
                <w14:textFill>
                  <w14:solidFill>
                    <w14:schemeClr w14:val="tx1">
                      <w14:lumMod w14:val="95000"/>
                      <w14:lumOff w14:val="5000"/>
                    </w14:schemeClr>
                  </w14:solidFill>
                </w14:textFill>
              </w:rPr>
              <w:t>03</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解剖实验动物时，必须做好个人安全防护；</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szCs w:val="21"/>
                <w14:textFill>
                  <w14:solidFill>
                    <w14:schemeClr w14:val="tx1">
                      <w14:lumMod w14:val="95000"/>
                      <w14:lumOff w14:val="5000"/>
                    </w14:schemeClr>
                  </w14:solidFill>
                </w14:textFill>
              </w:rPr>
              <w:t>（2</w:t>
            </w:r>
            <w:r>
              <w:rPr>
                <w:rFonts w:eastAsia="仿宋"/>
                <w:color w:val="0D0D0D" w:themeColor="text1" w:themeTint="F2"/>
                <w:szCs w:val="21"/>
                <w14:textFill>
                  <w14:solidFill>
                    <w14:schemeClr w14:val="tx1">
                      <w14:lumMod w14:val="95000"/>
                      <w14:lumOff w14:val="5000"/>
                    </w14:schemeClr>
                  </w14:solidFill>
                </w14:textFill>
              </w:rPr>
              <w:t>04</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定期组织健康检查</w:t>
            </w:r>
          </w:p>
        </w:tc>
        <w:tc>
          <w:tcPr>
            <w:tcW w:w="2543" w:type="dxa"/>
            <w:tcMar>
              <w:left w:w="45" w:type="dxa"/>
              <w:right w:w="45" w:type="dxa"/>
            </w:tcMar>
            <w:vAlign w:val="center"/>
          </w:tcPr>
          <w:p>
            <w:pPr>
              <w:widowControl/>
              <w:spacing w:line="300" w:lineRule="exact"/>
              <w:rPr>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9.6.2</w:t>
            </w:r>
          </w:p>
        </w:tc>
        <w:tc>
          <w:tcPr>
            <w:tcW w:w="3820"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bCs/>
                <w:color w:val="0D0D0D" w:themeColor="text1" w:themeTint="F2"/>
                <w:kern w:val="0"/>
                <w:szCs w:val="21"/>
                <w14:textFill>
                  <w14:solidFill>
                    <w14:schemeClr w14:val="tx1">
                      <w14:lumMod w14:val="95000"/>
                      <w14:lumOff w14:val="5000"/>
                    </w14:schemeClr>
                  </w14:solidFill>
                </w14:textFill>
              </w:rPr>
              <w:t>（2</w:t>
            </w:r>
            <w:r>
              <w:rPr>
                <w:rFonts w:eastAsia="仿宋"/>
                <w:bCs/>
                <w:color w:val="0D0D0D" w:themeColor="text1" w:themeTint="F2"/>
                <w:kern w:val="0"/>
                <w:szCs w:val="21"/>
                <w14:textFill>
                  <w14:solidFill>
                    <w14:schemeClr w14:val="tx1">
                      <w14:lumMod w14:val="95000"/>
                      <w14:lumOff w14:val="5000"/>
                    </w14:schemeClr>
                  </w14:solidFill>
                </w14:textFill>
              </w:rPr>
              <w:t>05</w:t>
            </w:r>
            <w:r>
              <w:rPr>
                <w:rFonts w:hint="eastAsia" w:eastAsia="仿宋"/>
                <w:bCs/>
                <w:color w:val="0D0D0D" w:themeColor="text1" w:themeTint="F2"/>
                <w:kern w:val="0"/>
                <w:szCs w:val="21"/>
                <w14:textFill>
                  <w14:solidFill>
                    <w14:schemeClr w14:val="tx1">
                      <w14:lumMod w14:val="95000"/>
                      <w14:lumOff w14:val="5000"/>
                    </w14:schemeClr>
                  </w14:solidFill>
                </w14:textFill>
              </w:rPr>
              <w:t>）学校有伦理审查机构，</w:t>
            </w:r>
            <w:r>
              <w:rPr>
                <w:rFonts w:eastAsia="仿宋"/>
                <w:bCs/>
                <w:color w:val="0D0D0D" w:themeColor="text1" w:themeTint="F2"/>
                <w:kern w:val="0"/>
                <w:szCs w:val="21"/>
                <w14:textFill>
                  <w14:solidFill>
                    <w14:schemeClr w14:val="tx1">
                      <w14:lumMod w14:val="95000"/>
                      <w14:lumOff w14:val="5000"/>
                    </w14:schemeClr>
                  </w14:solidFill>
                </w14:textFill>
              </w:rPr>
              <w:t>查看</w:t>
            </w:r>
            <w:r>
              <w:rPr>
                <w:rFonts w:hint="eastAsia" w:eastAsia="仿宋"/>
                <w:bCs/>
                <w:color w:val="0D0D0D" w:themeColor="text1" w:themeTint="F2"/>
                <w:kern w:val="0"/>
                <w:szCs w:val="21"/>
                <w14:textFill>
                  <w14:solidFill>
                    <w14:schemeClr w14:val="tx1">
                      <w14:lumMod w14:val="95000"/>
                      <w14:lumOff w14:val="5000"/>
                    </w14:schemeClr>
                  </w14:solidFill>
                </w14:textFill>
              </w:rPr>
              <w:t>伦理审查</w:t>
            </w:r>
            <w:r>
              <w:rPr>
                <w:rFonts w:eastAsia="仿宋"/>
                <w:bCs/>
                <w:color w:val="0D0D0D" w:themeColor="text1" w:themeTint="F2"/>
                <w:kern w:val="0"/>
                <w:szCs w:val="21"/>
                <w14:textFill>
                  <w14:solidFill>
                    <w14:schemeClr w14:val="tx1">
                      <w14:lumMod w14:val="95000"/>
                      <w14:lumOff w14:val="5000"/>
                    </w14:schemeClr>
                  </w14:solidFill>
                </w14:textFill>
              </w:rPr>
              <w:t>记录</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9.7</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9.7.1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生物废弃物的中转和处置规范</w:t>
            </w:r>
          </w:p>
        </w:tc>
        <w:tc>
          <w:tcPr>
            <w:tcW w:w="7660" w:type="dxa"/>
            <w:tcMar>
              <w:left w:w="45" w:type="dxa"/>
              <w:right w:w="45" w:type="dxa"/>
            </w:tcMar>
            <w:vAlign w:val="center"/>
          </w:tcPr>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06</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学校与有资质的单位签约处置感染性废物，有交接记录，形成电子或者纸质台账；</w:t>
            </w:r>
          </w:p>
          <w:p>
            <w:pPr>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07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学校有生物废弃物中转站或收集点，生物废物及时收集转运</w:t>
            </w:r>
          </w:p>
        </w:tc>
        <w:tc>
          <w:tcPr>
            <w:tcW w:w="2543" w:type="dxa"/>
            <w:tcMar>
              <w:left w:w="45" w:type="dxa"/>
              <w:right w:w="45" w:type="dxa"/>
            </w:tcMar>
            <w:vAlign w:val="center"/>
          </w:tcPr>
          <w:p>
            <w:pPr>
              <w:widowControl/>
              <w:spacing w:line="300" w:lineRule="exact"/>
              <w:rPr>
                <w:rFonts w:ascii="仿宋" w:hAnsi="仿宋"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9.7.2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生物废弃物与其他类别废物分开，且做好防护和消杀</w:t>
            </w:r>
          </w:p>
        </w:tc>
        <w:tc>
          <w:tcPr>
            <w:tcW w:w="7660" w:type="dxa"/>
            <w:tcMar>
              <w:left w:w="45" w:type="dxa"/>
              <w:right w:w="45" w:type="dxa"/>
            </w:tcMar>
            <w:vAlign w:val="center"/>
          </w:tcPr>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08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生物废物应与化学废物、生活垃圾等分开存储；</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09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实验室内配备生物废物垃圾桶（内置</w:t>
            </w:r>
            <w:r>
              <w:rPr>
                <w:rFonts w:eastAsia="仿宋"/>
                <w:color w:val="0D0D0D" w:themeColor="text1" w:themeTint="F2"/>
                <w:kern w:val="0"/>
                <w14:textFill>
                  <w14:solidFill>
                    <w14:schemeClr w14:val="tx1">
                      <w14:lumMod w14:val="95000"/>
                      <w14:lumOff w14:val="5000"/>
                    </w14:schemeClr>
                  </w14:solidFill>
                </w14:textFill>
              </w:rPr>
              <w:t>生物废物专用</w:t>
            </w:r>
            <w:r>
              <w:rPr>
                <w:rFonts w:eastAsia="仿宋"/>
                <w:color w:val="0D0D0D" w:themeColor="text1" w:themeTint="F2"/>
                <w:kern w:val="0"/>
                <w:szCs w:val="21"/>
                <w14:textFill>
                  <w14:solidFill>
                    <w14:schemeClr w14:val="tx1">
                      <w14:lumMod w14:val="95000"/>
                      <w14:lumOff w14:val="5000"/>
                    </w14:schemeClr>
                  </w14:solidFill>
                </w14:textFill>
              </w:rPr>
              <w:t>塑料袋），并粘贴专用标签标识；</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10</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刀片、移液枪头等尖锐物应使用利器盒或耐扎纸板箱盛放，送储时再装入</w:t>
            </w:r>
            <w:r>
              <w:rPr>
                <w:rFonts w:eastAsia="仿宋"/>
                <w:color w:val="0D0D0D" w:themeColor="text1" w:themeTint="F2"/>
                <w:kern w:val="0"/>
                <w14:textFill>
                  <w14:solidFill>
                    <w14:schemeClr w14:val="tx1">
                      <w14:lumMod w14:val="95000"/>
                      <w14:lumOff w14:val="5000"/>
                    </w14:schemeClr>
                  </w14:solidFill>
                </w14:textFill>
              </w:rPr>
              <w:t>生物废物专用塑料袋</w:t>
            </w:r>
            <w:r>
              <w:rPr>
                <w:rFonts w:eastAsia="仿宋"/>
                <w:color w:val="0D0D0D" w:themeColor="text1" w:themeTint="F2"/>
                <w:kern w:val="0"/>
                <w:szCs w:val="21"/>
                <w14:textFill>
                  <w14:solidFill>
                    <w14:schemeClr w14:val="tx1">
                      <w14:lumMod w14:val="95000"/>
                      <w14:lumOff w14:val="5000"/>
                    </w14:schemeClr>
                  </w14:solidFill>
                </w14:textFill>
              </w:rPr>
              <w:t>，贴好标签；</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11</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动物实验结束后，动物尸体及组织应做无害化处理，废物彻底灭菌后方可</w:t>
            </w:r>
            <w:r>
              <w:rPr>
                <w:rFonts w:hint="eastAsia" w:eastAsia="仿宋"/>
                <w:color w:val="0D0D0D" w:themeColor="text1" w:themeTint="F2"/>
                <w:kern w:val="0"/>
                <w:szCs w:val="21"/>
                <w14:textFill>
                  <w14:solidFill>
                    <w14:schemeClr w14:val="tx1">
                      <w14:lumMod w14:val="95000"/>
                      <w14:lumOff w14:val="5000"/>
                    </w14:schemeClr>
                  </w14:solidFill>
                </w14:textFill>
              </w:rPr>
              <w:t>处置</w:t>
            </w:r>
            <w:r>
              <w:rPr>
                <w:rFonts w:eastAsia="仿宋"/>
                <w:color w:val="0D0D0D" w:themeColor="text1" w:themeTint="F2"/>
                <w:kern w:val="0"/>
                <w:szCs w:val="21"/>
                <w14:textFill>
                  <w14:solidFill>
                    <w14:schemeClr w14:val="tx1">
                      <w14:lumMod w14:val="95000"/>
                      <w14:lumOff w14:val="5000"/>
                    </w14:schemeClr>
                  </w14:solidFill>
                </w14:textFill>
              </w:rPr>
              <w:t>；</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12</w:t>
            </w:r>
            <w:r>
              <w:rPr>
                <w:rFonts w:hint="eastAsia" w:eastAsia="仿宋"/>
                <w:color w:val="0D0D0D" w:themeColor="text1" w:themeTint="F2"/>
                <w:kern w:val="0"/>
                <w:szCs w:val="21"/>
                <w14:textFill>
                  <w14:solidFill>
                    <w14:schemeClr w14:val="tx1">
                      <w14:lumMod w14:val="95000"/>
                      <w14:lumOff w14:val="5000"/>
                    </w14:schemeClr>
                  </w14:solidFill>
                </w14:textFill>
              </w:rPr>
              <w:t>）涉及</w:t>
            </w:r>
            <w:r>
              <w:rPr>
                <w:rFonts w:eastAsia="仿宋"/>
                <w:color w:val="0D0D0D" w:themeColor="text1" w:themeTint="F2"/>
                <w:kern w:val="0"/>
                <w:szCs w:val="21"/>
                <w14:textFill>
                  <w14:solidFill>
                    <w14:schemeClr w14:val="tx1">
                      <w14:lumMod w14:val="95000"/>
                      <w14:lumOff w14:val="5000"/>
                    </w14:schemeClr>
                  </w14:solidFill>
                </w14:textFill>
              </w:rPr>
              <w:t>病原微生物</w:t>
            </w:r>
            <w:r>
              <w:rPr>
                <w:rFonts w:hint="eastAsia" w:eastAsia="仿宋"/>
                <w:color w:val="0D0D0D" w:themeColor="text1" w:themeTint="F2"/>
                <w:kern w:val="0"/>
                <w:szCs w:val="21"/>
                <w14:textFill>
                  <w14:solidFill>
                    <w14:schemeClr w14:val="tx1">
                      <w14:lumMod w14:val="95000"/>
                      <w14:lumOff w14:val="5000"/>
                    </w14:schemeClr>
                  </w14:solidFill>
                </w14:textFill>
              </w:rPr>
              <w:t>或其他细菌类</w:t>
            </w:r>
            <w:r>
              <w:rPr>
                <w:rFonts w:eastAsia="仿宋"/>
                <w:color w:val="0D0D0D" w:themeColor="text1" w:themeTint="F2"/>
                <w:kern w:val="0"/>
                <w:szCs w:val="21"/>
                <w14:textFill>
                  <w14:solidFill>
                    <w14:schemeClr w14:val="tx1">
                      <w14:lumMod w14:val="95000"/>
                      <w14:lumOff w14:val="5000"/>
                    </w14:schemeClr>
                  </w14:solidFill>
                </w14:textFill>
              </w:rPr>
              <w:t>的生物废物必须进行高温高压灭菌或化学浸泡处理</w:t>
            </w:r>
            <w:r>
              <w:rPr>
                <w:rFonts w:hint="eastAsia" w:eastAsia="仿宋"/>
                <w:color w:val="0D0D0D" w:themeColor="text1" w:themeTint="F2"/>
                <w:kern w:val="0"/>
                <w:szCs w:val="21"/>
                <w14:textFill>
                  <w14:solidFill>
                    <w14:schemeClr w14:val="tx1">
                      <w14:lumMod w14:val="95000"/>
                      <w14:lumOff w14:val="5000"/>
                    </w14:schemeClr>
                  </w14:solidFill>
                </w14:textFill>
              </w:rPr>
              <w:t>，然</w:t>
            </w:r>
            <w:r>
              <w:rPr>
                <w:rFonts w:eastAsia="仿宋"/>
                <w:color w:val="0D0D0D" w:themeColor="text1" w:themeTint="F2"/>
                <w:kern w:val="0"/>
                <w:szCs w:val="21"/>
                <w14:textFill>
                  <w14:solidFill>
                    <w14:schemeClr w14:val="tx1">
                      <w14:lumMod w14:val="95000"/>
                      <w14:lumOff w14:val="5000"/>
                    </w14:schemeClr>
                  </w14:solidFill>
                </w14:textFill>
              </w:rPr>
              <w:t>后由有资质的公司进行最终处置；</w:t>
            </w:r>
          </w:p>
          <w:p>
            <w:pPr>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13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color w:val="0D0D0D" w:themeColor="text1" w:themeTint="F2"/>
                <w:kern w:val="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10</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10.1</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10.1.1</w:t>
            </w:r>
          </w:p>
        </w:tc>
        <w:tc>
          <w:tcPr>
            <w:tcW w:w="3820"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辐射工作</w:t>
            </w:r>
            <w:r>
              <w:rPr>
                <w:rFonts w:eastAsia="仿宋"/>
                <w:bCs/>
                <w:color w:val="0D0D0D" w:themeColor="text1" w:themeTint="F2"/>
                <w:kern w:val="0"/>
                <w:szCs w:val="21"/>
                <w14:textFill>
                  <w14:solidFill>
                    <w14:schemeClr w14:val="tx1">
                      <w14:lumMod w14:val="95000"/>
                      <w14:lumOff w14:val="5000"/>
                    </w14:schemeClr>
                  </w14:solidFill>
                </w14:textFill>
              </w:rPr>
              <w:t>单位须</w:t>
            </w:r>
            <w:r>
              <w:rPr>
                <w:rFonts w:eastAsia="仿宋"/>
                <w:color w:val="0D0D0D" w:themeColor="text1" w:themeTint="F2"/>
                <w:kern w:val="0"/>
                <w:szCs w:val="21"/>
                <w14:textFill>
                  <w14:solidFill>
                    <w14:schemeClr w14:val="tx1">
                      <w14:lumMod w14:val="95000"/>
                      <w14:lumOff w14:val="5000"/>
                    </w14:schemeClr>
                  </w14:solidFill>
                </w14:textFill>
              </w:rPr>
              <w:t>取得辐射安全许可证</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14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按规定在放射性核素种类和用量以及射线种类许可范围内开展实验</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10.1.2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辐射工作</w:t>
            </w:r>
            <w:r>
              <w:rPr>
                <w:rFonts w:eastAsia="仿宋"/>
                <w:color w:val="0D0D0D" w:themeColor="text1" w:themeTint="F2"/>
                <w:kern w:val="0"/>
                <w:szCs w:val="21"/>
                <w14:textFill>
                  <w14:solidFill>
                    <w14:schemeClr w14:val="tx1">
                      <w14:lumMod w14:val="95000"/>
                      <w14:lumOff w14:val="5000"/>
                    </w14:schemeClr>
                  </w14:solidFill>
                </w14:textFill>
              </w:rPr>
              <w:t>人员须经过专门培训，定期参加职业体检</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15</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辐射工作人员具有《辐射安全与防护培训合格证书》，</w:t>
            </w:r>
            <w:bookmarkStart w:id="0" w:name="_Hlk67117721"/>
            <w:r>
              <w:rPr>
                <w:rFonts w:eastAsia="仿宋"/>
                <w:color w:val="0D0D0D" w:themeColor="text1" w:themeTint="F2"/>
                <w:kern w:val="0"/>
                <w:szCs w:val="21"/>
                <w14:textFill>
                  <w14:solidFill>
                    <w14:schemeClr w14:val="tx1">
                      <w14:lumMod w14:val="95000"/>
                      <w14:lumOff w14:val="5000"/>
                    </w14:schemeClr>
                  </w14:solidFill>
                </w14:textFill>
              </w:rPr>
              <w:t>或者《生态环境部辐射安全与防护考核通过报告单</w:t>
            </w:r>
            <w:bookmarkEnd w:id="0"/>
            <w:r>
              <w:rPr>
                <w:rFonts w:eastAsia="仿宋"/>
                <w:color w:val="0D0D0D" w:themeColor="text1" w:themeTint="F2"/>
                <w:kern w:val="0"/>
                <w:szCs w:val="21"/>
                <w14:textFill>
                  <w14:solidFill>
                    <w14:schemeClr w14:val="tx1">
                      <w14:lumMod w14:val="95000"/>
                      <w14:lumOff w14:val="5000"/>
                    </w14:schemeClr>
                  </w14:solidFill>
                </w14:textFill>
              </w:rPr>
              <w:t>》</w:t>
            </w:r>
            <w:r>
              <w:rPr>
                <w:rFonts w:hint="eastAsia" w:eastAsia="仿宋"/>
                <w:color w:val="0D0D0D" w:themeColor="text1" w:themeTint="F2"/>
                <w:kern w:val="0"/>
                <w:szCs w:val="21"/>
                <w14:textFill>
                  <w14:solidFill>
                    <w14:schemeClr w14:val="tx1">
                      <w14:lumMod w14:val="95000"/>
                      <w14:lumOff w14:val="5000"/>
                    </w14:schemeClr>
                  </w14:solidFill>
                </w14:textFill>
              </w:rPr>
              <w:t>；</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16</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辐射工作</w:t>
            </w:r>
            <w:r>
              <w:rPr>
                <w:rFonts w:eastAsia="仿宋"/>
                <w:color w:val="0D0D0D" w:themeColor="text1" w:themeTint="F2"/>
                <w:kern w:val="0"/>
                <w:szCs w:val="21"/>
                <w14:textFill>
                  <w14:solidFill>
                    <w14:schemeClr w14:val="tx1">
                      <w14:lumMod w14:val="95000"/>
                      <w14:lumOff w14:val="5000"/>
                    </w14:schemeClr>
                  </w14:solidFill>
                </w14:textFill>
              </w:rPr>
              <w:t>人员按时参加放射性职业体检（2年1次），有健康档案；</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17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辐射工作</w:t>
            </w:r>
            <w:r>
              <w:rPr>
                <w:rFonts w:eastAsia="仿宋"/>
                <w:color w:val="0D0D0D" w:themeColor="text1" w:themeTint="F2"/>
                <w:kern w:val="0"/>
                <w:szCs w:val="21"/>
                <w14:textFill>
                  <w14:solidFill>
                    <w14:schemeClr w14:val="tx1">
                      <w14:lumMod w14:val="95000"/>
                      <w14:lumOff w14:val="5000"/>
                    </w14:schemeClr>
                  </w14:solidFill>
                </w14:textFill>
              </w:rPr>
              <w:t>人员进入实验场所须佩带个人剂量计</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剂量计委托有资质的单位按时进行剂量</w:t>
            </w:r>
            <w:r>
              <w:rPr>
                <w:rFonts w:hint="eastAsia" w:eastAsia="仿宋"/>
                <w:color w:val="0D0D0D" w:themeColor="text1" w:themeTint="F2"/>
                <w:kern w:val="0"/>
                <w:szCs w:val="21"/>
                <w14:textFill>
                  <w14:solidFill>
                    <w14:schemeClr w14:val="tx1">
                      <w14:lumMod w14:val="95000"/>
                      <w14:lumOff w14:val="5000"/>
                    </w14:schemeClr>
                  </w14:solidFill>
                </w14:textFill>
              </w:rPr>
              <w:t>监测</w:t>
            </w:r>
            <w:r>
              <w:rPr>
                <w:rFonts w:eastAsia="仿宋"/>
                <w:color w:val="0D0D0D" w:themeColor="text1" w:themeTint="F2"/>
                <w:kern w:val="0"/>
                <w:szCs w:val="21"/>
                <w14:textFill>
                  <w14:solidFill>
                    <w14:schemeClr w14:val="tx1">
                      <w14:lumMod w14:val="95000"/>
                      <w14:lumOff w14:val="5000"/>
                    </w14:schemeClr>
                  </w14:solidFill>
                </w14:textFill>
              </w:rPr>
              <w:t>（3个月一次）</w:t>
            </w:r>
          </w:p>
        </w:tc>
        <w:tc>
          <w:tcPr>
            <w:tcW w:w="2543" w:type="dxa"/>
            <w:tcMar>
              <w:left w:w="45" w:type="dxa"/>
              <w:right w:w="45" w:type="dxa"/>
            </w:tcMar>
            <w:vAlign w:val="center"/>
          </w:tcPr>
          <w:p>
            <w:pPr>
              <w:spacing w:line="360" w:lineRule="auto"/>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10.1.3</w:t>
            </w:r>
          </w:p>
        </w:tc>
        <w:tc>
          <w:tcPr>
            <w:tcW w:w="3820"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bCs/>
                <w:color w:val="0D0D0D" w:themeColor="text1" w:themeTint="F2"/>
                <w:kern w:val="0"/>
                <w:szCs w:val="21"/>
                <w14:textFill>
                  <w14:solidFill>
                    <w14:schemeClr w14:val="tx1">
                      <w14:lumMod w14:val="95000"/>
                      <w14:lumOff w14:val="5000"/>
                    </w14:schemeClr>
                  </w14:solidFill>
                </w14:textFill>
              </w:rPr>
              <w:t>（2</w:t>
            </w:r>
            <w:r>
              <w:rPr>
                <w:rFonts w:eastAsia="仿宋"/>
                <w:bCs/>
                <w:color w:val="0D0D0D" w:themeColor="text1" w:themeTint="F2"/>
                <w:kern w:val="0"/>
                <w:szCs w:val="21"/>
                <w14:textFill>
                  <w14:solidFill>
                    <w14:schemeClr w14:val="tx1">
                      <w14:lumMod w14:val="95000"/>
                      <w14:lumOff w14:val="5000"/>
                    </w14:schemeClr>
                  </w14:solidFill>
                </w14:textFill>
              </w:rPr>
              <w:t>18</w:t>
            </w: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持有核材料数量达到法定要求的单位须</w:t>
            </w:r>
            <w:r>
              <w:rPr>
                <w:rFonts w:eastAsia="仿宋"/>
                <w:color w:val="0D0D0D" w:themeColor="text1" w:themeTint="F2"/>
                <w:kern w:val="0"/>
                <w:szCs w:val="21"/>
                <w14:textFill>
                  <w14:solidFill>
                    <w14:schemeClr w14:val="tx1">
                      <w14:lumMod w14:val="95000"/>
                      <w14:lumOff w14:val="5000"/>
                    </w14:schemeClr>
                  </w14:solidFill>
                </w14:textFill>
              </w:rPr>
              <w:t>取得核材料许可证</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有专职机构或指定专人负责核材料管制工作</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核材料衡算和核安保工作执行国家法律法规要求</w:t>
            </w:r>
          </w:p>
        </w:tc>
        <w:tc>
          <w:tcPr>
            <w:tcW w:w="2543" w:type="dxa"/>
            <w:tcMar>
              <w:left w:w="45" w:type="dxa"/>
              <w:right w:w="45" w:type="dxa"/>
            </w:tcMar>
            <w:vAlign w:val="center"/>
          </w:tcPr>
          <w:p>
            <w:pPr>
              <w:spacing w:line="360" w:lineRule="auto"/>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10.2</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10.2.1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辐射设施和场所应设有警示、连锁和报警装置</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19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放射源储存库应设</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双人双锁</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，并有安全报警系统和视频监控系统</w:t>
            </w:r>
            <w:r>
              <w:rPr>
                <w:rFonts w:hint="eastAsia" w:eastAsia="仿宋"/>
                <w:color w:val="0D0D0D" w:themeColor="text1" w:themeTint="F2"/>
                <w:kern w:val="0"/>
                <w:szCs w:val="21"/>
                <w14:textFill>
                  <w14:solidFill>
                    <w14:schemeClr w14:val="tx1">
                      <w14:lumMod w14:val="95000"/>
                      <w14:lumOff w14:val="5000"/>
                    </w14:schemeClr>
                  </w14:solidFill>
                </w14:textFill>
              </w:rPr>
              <w:t>；</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20</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辐照设施设备和2类以上射线装置具有能正常工作的安全连锁装置和报警装置，有明显的安全警示标识、警戒线和剂量报警仪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10.2.2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bCs/>
                <w:color w:val="0D0D0D" w:themeColor="text1" w:themeTint="F2"/>
                <w:kern w:val="0"/>
                <w:szCs w:val="21"/>
                <w14:textFill>
                  <w14:solidFill>
                    <w14:schemeClr w14:val="tx1">
                      <w14:lumMod w14:val="95000"/>
                      <w14:lumOff w14:val="5000"/>
                    </w14:schemeClr>
                  </w14:solidFill>
                </w14:textFill>
              </w:rPr>
              <w:t>（2</w:t>
            </w:r>
            <w:r>
              <w:rPr>
                <w:rFonts w:eastAsia="仿宋"/>
                <w:bCs/>
                <w:color w:val="0D0D0D" w:themeColor="text1" w:themeTint="F2"/>
                <w:kern w:val="0"/>
                <w:szCs w:val="21"/>
                <w14:textFill>
                  <w14:solidFill>
                    <w14:schemeClr w14:val="tx1">
                      <w14:lumMod w14:val="95000"/>
                      <w14:lumOff w14:val="5000"/>
                    </w14:schemeClr>
                  </w14:solidFill>
                </w14:textFill>
              </w:rPr>
              <w:t>21</w:t>
            </w: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查</w:t>
            </w:r>
            <w:r>
              <w:rPr>
                <w:rFonts w:eastAsia="仿宋"/>
                <w:color w:val="0D0D0D" w:themeColor="text1" w:themeTint="F2"/>
                <w:kern w:val="0"/>
                <w:szCs w:val="21"/>
                <w14:textFill>
                  <w14:solidFill>
                    <w14:schemeClr w14:val="tx1">
                      <w14:lumMod w14:val="95000"/>
                      <w14:lumOff w14:val="5000"/>
                    </w14:schemeClr>
                  </w14:solidFill>
                </w14:textFill>
              </w:rPr>
              <w:t>看场所辐射环境监测报告</w:t>
            </w:r>
          </w:p>
        </w:tc>
        <w:tc>
          <w:tcPr>
            <w:tcW w:w="2543" w:type="dxa"/>
            <w:tcMar>
              <w:left w:w="45" w:type="dxa"/>
              <w:right w:w="45" w:type="dxa"/>
            </w:tcMar>
            <w:vAlign w:val="center"/>
          </w:tcPr>
          <w:p>
            <w:pPr>
              <w:spacing w:line="360" w:lineRule="auto"/>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10.2.3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放射性物质的采购、转移和运输应按规定报批</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22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放射源和放射性物质的采购和转让转移有学校及生态环境部门的审批备案材料，采购和转让转移前必须先做环境影响评价工作；</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23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放射性物质的转移和运输有学校及公安部门的审批备案材料；</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24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放射源、放射性物质以及3类以上射线装置储存和使用场所变更应重新开展环境影响评价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10.3</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10.3.1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25</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重点关注γ辐照、电子加速器、射线探伤仪、非密封性放射性实验操作、5类以上的密封性放射性实验操作；</w:t>
            </w:r>
            <w:bookmarkStart w:id="1" w:name="_Hlk67119357"/>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26</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查看辐射事故应急预案</w:t>
            </w:r>
            <w:bookmarkEnd w:id="1"/>
            <w:r>
              <w:rPr>
                <w:rFonts w:eastAsia="仿宋"/>
                <w:color w:val="0D0D0D" w:themeColor="text1" w:themeTint="F2"/>
                <w:kern w:val="0"/>
                <w:szCs w:val="21"/>
                <w14:textFill>
                  <w14:solidFill>
                    <w14:schemeClr w14:val="tx1">
                      <w14:lumMod w14:val="95000"/>
                      <w14:lumOff w14:val="5000"/>
                    </w14:schemeClr>
                  </w14:solidFill>
                </w14:textFill>
              </w:rPr>
              <w:t>及应急演练记录（每年不少于一次演练）</w:t>
            </w:r>
          </w:p>
        </w:tc>
        <w:tc>
          <w:tcPr>
            <w:tcW w:w="2543" w:type="dxa"/>
            <w:tcMar>
              <w:left w:w="45" w:type="dxa"/>
              <w:right w:w="45" w:type="dxa"/>
            </w:tcMar>
            <w:vAlign w:val="center"/>
          </w:tcPr>
          <w:p>
            <w:pPr>
              <w:widowControl/>
              <w:spacing w:line="300" w:lineRule="exact"/>
              <w:rPr>
                <w:rFonts w:ascii="仿宋" w:hAnsi="仿宋"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10.3.2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27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中、长半衰期核素固液废物有符合国家相关规定的处置方案或回收协议，短半衰期核素固液废弃物放置10个半衰期经检测达标后作为普通</w:t>
            </w:r>
            <w:r>
              <w:rPr>
                <w:rFonts w:hint="eastAsia" w:eastAsia="仿宋"/>
                <w:color w:val="0D0D0D" w:themeColor="text1" w:themeTint="F2"/>
                <w:kern w:val="0"/>
                <w:szCs w:val="21"/>
                <w14:textFill>
                  <w14:solidFill>
                    <w14:schemeClr w14:val="tx1">
                      <w14:lumMod w14:val="95000"/>
                      <w14:lumOff w14:val="5000"/>
                    </w14:schemeClr>
                  </w14:solidFill>
                </w14:textFill>
              </w:rPr>
              <w:t>废</w:t>
            </w:r>
            <w:r>
              <w:rPr>
                <w:rFonts w:eastAsia="仿宋"/>
                <w:color w:val="0D0D0D" w:themeColor="text1" w:themeTint="F2"/>
                <w:kern w:val="0"/>
                <w:szCs w:val="21"/>
                <w14:textFill>
                  <w14:solidFill>
                    <w14:schemeClr w14:val="tx1">
                      <w14:lumMod w14:val="95000"/>
                      <w14:lumOff w14:val="5000"/>
                    </w14:schemeClr>
                  </w14:solidFill>
                </w14:textFill>
              </w:rPr>
              <w:t>物处理，并有处置记录；</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28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报废含有放射源或可产生放射性的设备，需报学校管理部门同意，并按国家规定进行退役处置</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X光管报废时应破坏高压设备，拍照留存；</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bCs/>
                <w:color w:val="0D0D0D" w:themeColor="text1" w:themeTint="F2"/>
                <w:kern w:val="0"/>
                <w:szCs w:val="21"/>
                <w14:textFill>
                  <w14:solidFill>
                    <w14:schemeClr w14:val="tx1">
                      <w14:lumMod w14:val="95000"/>
                      <w14:lumOff w14:val="5000"/>
                    </w14:schemeClr>
                  </w14:solidFill>
                </w14:textFill>
              </w:rPr>
              <w:t>（2</w:t>
            </w:r>
            <w:r>
              <w:rPr>
                <w:rFonts w:eastAsia="仿宋"/>
                <w:bCs/>
                <w:color w:val="0D0D0D" w:themeColor="text1" w:themeTint="F2"/>
                <w:kern w:val="0"/>
                <w:szCs w:val="21"/>
                <w14:textFill>
                  <w14:solidFill>
                    <w14:schemeClr w14:val="tx1">
                      <w14:lumMod w14:val="95000"/>
                      <w14:lumOff w14:val="5000"/>
                    </w14:schemeClr>
                  </w14:solidFill>
                </w14:textFill>
              </w:rPr>
              <w:t>29</w:t>
            </w: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涉源实验场所退役，须按国家相关规定执行</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10.3.3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bookmarkStart w:id="2" w:name="_Hlk67118907"/>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30</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相关实验室应当配置专门的放射性废物收集桶；放射性废液送贮前应进行固化整备；</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31</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放射性废物应及时送交城市放</w:t>
            </w:r>
            <w:r>
              <w:rPr>
                <w:rFonts w:hint="eastAsia" w:eastAsia="仿宋"/>
                <w:color w:val="0D0D0D" w:themeColor="text1" w:themeTint="F2"/>
                <w:kern w:val="0"/>
                <w:szCs w:val="21"/>
                <w14:textFill>
                  <w14:solidFill>
                    <w14:schemeClr w14:val="tx1">
                      <w14:lumMod w14:val="95000"/>
                      <w14:lumOff w14:val="5000"/>
                    </w14:schemeClr>
                  </w14:solidFill>
                </w14:textFill>
              </w:rPr>
              <w:t>射性</w:t>
            </w:r>
            <w:r>
              <w:rPr>
                <w:rFonts w:eastAsia="仿宋"/>
                <w:color w:val="0D0D0D" w:themeColor="text1" w:themeTint="F2"/>
                <w:kern w:val="0"/>
                <w:szCs w:val="21"/>
                <w14:textFill>
                  <w14:solidFill>
                    <w14:schemeClr w14:val="tx1">
                      <w14:lumMod w14:val="95000"/>
                      <w14:lumOff w14:val="5000"/>
                    </w14:schemeClr>
                  </w14:solidFill>
                </w14:textFill>
              </w:rPr>
              <w:t>废</w:t>
            </w:r>
            <w:r>
              <w:rPr>
                <w:rFonts w:hint="eastAsia" w:eastAsia="仿宋"/>
                <w:color w:val="0D0D0D" w:themeColor="text1" w:themeTint="F2"/>
                <w:kern w:val="0"/>
                <w:szCs w:val="21"/>
                <w14:textFill>
                  <w14:solidFill>
                    <w14:schemeClr w14:val="tx1">
                      <w14:lumMod w14:val="95000"/>
                      <w14:lumOff w14:val="5000"/>
                    </w14:schemeClr>
                  </w14:solidFill>
                </w14:textFill>
              </w:rPr>
              <w:t>物</w:t>
            </w:r>
            <w:r>
              <w:rPr>
                <w:rFonts w:eastAsia="仿宋"/>
                <w:color w:val="0D0D0D" w:themeColor="text1" w:themeTint="F2"/>
                <w:kern w:val="0"/>
                <w:szCs w:val="21"/>
                <w14:textFill>
                  <w14:solidFill>
                    <w14:schemeClr w14:val="tx1">
                      <w14:lumMod w14:val="95000"/>
                      <w14:lumOff w14:val="5000"/>
                    </w14:schemeClr>
                  </w14:solidFill>
                </w14:textFill>
              </w:rPr>
              <w:t>库收贮；</w:t>
            </w:r>
            <w:bookmarkEnd w:id="2"/>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32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ascii="仿宋" w:hAnsi="仿宋"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11</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11.1</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11.1.1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建立设备台账，设备上有资产标签，有明确的管理人员</w:t>
            </w:r>
          </w:p>
        </w:tc>
        <w:tc>
          <w:tcPr>
            <w:tcW w:w="766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eastAsia="仿宋"/>
                <w:b/>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33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查看电子或纸质台账</w:t>
            </w:r>
          </w:p>
        </w:tc>
        <w:tc>
          <w:tcPr>
            <w:tcW w:w="2543"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11.1.2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大型、特种设备的使用需符合相关规定</w:t>
            </w:r>
          </w:p>
        </w:tc>
        <w:tc>
          <w:tcPr>
            <w:tcW w:w="766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34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大型仪器设备、高功率的设备与电路容量相匹配，有设备运行维护的记录，有安全操作规程或注意事项</w:t>
            </w:r>
          </w:p>
        </w:tc>
        <w:tc>
          <w:tcPr>
            <w:tcW w:w="2543"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11.1.3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仪器设备的接地和用电符合相关要求</w:t>
            </w:r>
          </w:p>
        </w:tc>
        <w:tc>
          <w:tcPr>
            <w:tcW w:w="766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eastAsia="仿宋"/>
                <w:color w:val="0D0D0D" w:themeColor="text1" w:themeTint="F2"/>
                <w:szCs w:val="21"/>
                <w14:textFill>
                  <w14:solidFill>
                    <w14:schemeClr w14:val="tx1">
                      <w14:lumMod w14:val="95000"/>
                      <w14:lumOff w14:val="5000"/>
                    </w14:schemeClr>
                  </w14:solidFill>
                </w14:textFill>
              </w:rPr>
            </w:pPr>
            <w:r>
              <w:rPr>
                <w:rFonts w:hint="eastAsia" w:eastAsia="仿宋"/>
                <w:color w:val="0D0D0D" w:themeColor="text1" w:themeTint="F2"/>
                <w:szCs w:val="21"/>
                <w14:textFill>
                  <w14:solidFill>
                    <w14:schemeClr w14:val="tx1">
                      <w14:lumMod w14:val="95000"/>
                      <w14:lumOff w14:val="5000"/>
                    </w14:schemeClr>
                  </w14:solidFill>
                </w14:textFill>
              </w:rPr>
              <w:t>（2</w:t>
            </w:r>
            <w:r>
              <w:rPr>
                <w:rFonts w:eastAsia="仿宋"/>
                <w:color w:val="0D0D0D" w:themeColor="text1" w:themeTint="F2"/>
                <w:szCs w:val="21"/>
                <w14:textFill>
                  <w14:solidFill>
                    <w14:schemeClr w14:val="tx1">
                      <w14:lumMod w14:val="95000"/>
                      <w14:lumOff w14:val="5000"/>
                    </w14:schemeClr>
                  </w14:solidFill>
                </w14:textFill>
              </w:rPr>
              <w:t>35</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仪器设备接地系统应按规范要求，采用铜质材料，接地电阻不高于0.5欧；</w:t>
            </w:r>
          </w:p>
          <w:p>
            <w:pPr>
              <w:keepNext w:val="0"/>
              <w:keepLines w:val="0"/>
              <w:pageBreakBefore w:val="0"/>
              <w:widowControl/>
              <w:kinsoku/>
              <w:wordWrap/>
              <w:overflowPunct/>
              <w:topLinePunct w:val="0"/>
              <w:autoSpaceDE/>
              <w:autoSpaceDN/>
              <w:bidi w:val="0"/>
              <w:adjustRightInd/>
              <w:snapToGrid/>
              <w:spacing w:line="28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szCs w:val="21"/>
                <w14:textFill>
                  <w14:solidFill>
                    <w14:schemeClr w14:val="tx1">
                      <w14:lumMod w14:val="95000"/>
                      <w14:lumOff w14:val="5000"/>
                    </w14:schemeClr>
                  </w14:solidFill>
                </w14:textFill>
              </w:rPr>
              <w:t>（2</w:t>
            </w:r>
            <w:r>
              <w:rPr>
                <w:rFonts w:eastAsia="仿宋"/>
                <w:color w:val="0D0D0D" w:themeColor="text1" w:themeTint="F2"/>
                <w:szCs w:val="21"/>
                <w14:textFill>
                  <w14:solidFill>
                    <w14:schemeClr w14:val="tx1">
                      <w14:lumMod w14:val="95000"/>
                      <w14:lumOff w14:val="5000"/>
                    </w14:schemeClr>
                  </w14:solidFill>
                </w14:textFill>
              </w:rPr>
              <w:t>36</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电脑、空调、电加热器等不随意开机过夜</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对于不能断电的特殊仪器设备，采取必要的防护措施（如双路供电、不间断电源、监控报警等）</w:t>
            </w:r>
          </w:p>
        </w:tc>
        <w:tc>
          <w:tcPr>
            <w:tcW w:w="2543"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11.1.4</w:t>
            </w:r>
          </w:p>
        </w:tc>
        <w:tc>
          <w:tcPr>
            <w:tcW w:w="3820"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szCs w:val="21"/>
                <w14:textFill>
                  <w14:solidFill>
                    <w14:schemeClr w14:val="tx1">
                      <w14:lumMod w14:val="95000"/>
                      <w14:lumOff w14:val="5000"/>
                    </w14:schemeClr>
                  </w14:solidFill>
                </w14:textFill>
              </w:rPr>
              <w:t>特殊设备应配备相应安全防护措施</w:t>
            </w:r>
          </w:p>
        </w:tc>
        <w:tc>
          <w:tcPr>
            <w:tcW w:w="766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eastAsia="仿宋"/>
                <w:color w:val="0D0D0D" w:themeColor="text1" w:themeTint="F2"/>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37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关注高温、高压、高速运动、电磁辐射等特殊设备，对使用者有培训要求，有安全警示标识和</w:t>
            </w:r>
            <w:r>
              <w:rPr>
                <w:rFonts w:eastAsia="仿宋"/>
                <w:color w:val="0D0D0D" w:themeColor="text1" w:themeTint="F2"/>
                <w:szCs w:val="21"/>
                <w14:textFill>
                  <w14:solidFill>
                    <w14:schemeClr w14:val="tx1">
                      <w14:lumMod w14:val="95000"/>
                      <w14:lumOff w14:val="5000"/>
                    </w14:schemeClr>
                  </w14:solidFill>
                </w14:textFill>
              </w:rPr>
              <w:t>安全警示线（黄色），设备安全防护措施完好</w:t>
            </w:r>
            <w:r>
              <w:rPr>
                <w:rFonts w:hint="eastAsia" w:eastAsia="仿宋"/>
                <w:color w:val="0D0D0D" w:themeColor="text1" w:themeTint="F2"/>
                <w:szCs w:val="21"/>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snapToGrid/>
              <w:spacing w:line="280" w:lineRule="exact"/>
              <w:textAlignment w:val="auto"/>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szCs w:val="21"/>
                <w14:textFill>
                  <w14:solidFill>
                    <w14:schemeClr w14:val="tx1">
                      <w14:lumMod w14:val="95000"/>
                      <w14:lumOff w14:val="5000"/>
                    </w14:schemeClr>
                  </w14:solidFill>
                </w14:textFill>
              </w:rPr>
              <w:t>（2</w:t>
            </w:r>
            <w:r>
              <w:rPr>
                <w:rFonts w:eastAsia="仿宋"/>
                <w:color w:val="0D0D0D" w:themeColor="text1" w:themeTint="F2"/>
                <w:szCs w:val="21"/>
                <w14:textFill>
                  <w14:solidFill>
                    <w14:schemeClr w14:val="tx1">
                      <w14:lumMod w14:val="95000"/>
                      <w14:lumOff w14:val="5000"/>
                    </w14:schemeClr>
                  </w14:solidFill>
                </w14:textFill>
              </w:rPr>
              <w:t>38</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自研自制设备，须充分考虑安全系数，并有安全防护措施</w:t>
            </w:r>
          </w:p>
        </w:tc>
        <w:tc>
          <w:tcPr>
            <w:tcW w:w="2543"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11.2</w:t>
            </w:r>
          </w:p>
        </w:tc>
        <w:tc>
          <w:tcPr>
            <w:tcW w:w="14023" w:type="dxa"/>
            <w:gridSpan w:val="3"/>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11.2.1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机械设备应保持清洁整齐，可靠接地</w:t>
            </w:r>
          </w:p>
        </w:tc>
        <w:tc>
          <w:tcPr>
            <w:tcW w:w="766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39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机床应保持清洁整齐</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严禁在床头、床面、刀架上放置物品；</w:t>
            </w:r>
          </w:p>
          <w:p>
            <w:pPr>
              <w:keepNext w:val="0"/>
              <w:keepLines w:val="0"/>
              <w:pageBreakBefore w:val="0"/>
              <w:widowControl/>
              <w:kinsoku/>
              <w:wordWrap/>
              <w:overflowPunct/>
              <w:topLinePunct w:val="0"/>
              <w:autoSpaceDE/>
              <w:autoSpaceDN/>
              <w:bidi w:val="0"/>
              <w:adjustRightInd/>
              <w:snapToGrid/>
              <w:spacing w:line="28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40</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机械设备可靠接地</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实验结束后，应切断电源，整理好场地并将实验用具等摆放整齐，及时清理机械设备产生的废渣、废屑</w:t>
            </w:r>
          </w:p>
        </w:tc>
        <w:tc>
          <w:tcPr>
            <w:tcW w:w="2543"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11.2.2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操作机械设备时实验人员应做好个人防护</w:t>
            </w:r>
          </w:p>
        </w:tc>
        <w:tc>
          <w:tcPr>
            <w:tcW w:w="766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eastAsia="仿宋"/>
                <w:color w:val="0D0D0D" w:themeColor="text1" w:themeTint="F2"/>
                <w:kern w:val="0"/>
                <w14:textFill>
                  <w14:solidFill>
                    <w14:schemeClr w14:val="tx1">
                      <w14:lumMod w14:val="95000"/>
                      <w14:lumOff w14:val="5000"/>
                    </w14:schemeClr>
                  </w14:solidFill>
                </w14:textFill>
              </w:rPr>
            </w:pPr>
            <w:r>
              <w:rPr>
                <w:rFonts w:hint="eastAsia" w:eastAsia="仿宋"/>
                <w:color w:val="0D0D0D" w:themeColor="text1" w:themeTint="F2"/>
                <w:kern w:val="0"/>
                <w14:textFill>
                  <w14:solidFill>
                    <w14:schemeClr w14:val="tx1">
                      <w14:lumMod w14:val="95000"/>
                      <w14:lumOff w14:val="5000"/>
                    </w14:schemeClr>
                  </w14:solidFill>
                </w14:textFill>
              </w:rPr>
              <w:t>（2</w:t>
            </w:r>
            <w:r>
              <w:rPr>
                <w:rFonts w:eastAsia="仿宋"/>
                <w:color w:val="0D0D0D" w:themeColor="text1" w:themeTint="F2"/>
                <w:kern w:val="0"/>
                <w14:textFill>
                  <w14:solidFill>
                    <w14:schemeClr w14:val="tx1">
                      <w14:lumMod w14:val="95000"/>
                      <w14:lumOff w14:val="5000"/>
                    </w14:schemeClr>
                  </w14:solidFill>
                </w14:textFill>
              </w:rPr>
              <w:t>41</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个人防护用品要穿戴齐全，如工作服、工作帽、工作鞋、防护眼镜等</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操作冷加工设备必须穿</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三紧式</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工作服，不能留长发（长发要盘在工作帽内），禁止戴手套</w:t>
            </w:r>
            <w:r>
              <w:rPr>
                <w:rFonts w:hint="eastAsia" w:eastAsia="仿宋"/>
                <w:color w:val="0D0D0D" w:themeColor="text1" w:themeTint="F2"/>
                <w:kern w:val="0"/>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snapToGrid/>
              <w:spacing w:line="28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14:textFill>
                  <w14:solidFill>
                    <w14:schemeClr w14:val="tx1">
                      <w14:lumMod w14:val="95000"/>
                      <w14:lumOff w14:val="5000"/>
                    </w14:schemeClr>
                  </w14:solidFill>
                </w14:textFill>
              </w:rPr>
              <w:t>（2</w:t>
            </w:r>
            <w:r>
              <w:rPr>
                <w:rFonts w:eastAsia="仿宋"/>
                <w:color w:val="0D0D0D" w:themeColor="text1" w:themeTint="F2"/>
                <w:kern w:val="0"/>
                <w14:textFill>
                  <w14:solidFill>
                    <w14:schemeClr w14:val="tx1">
                      <w14:lumMod w14:val="95000"/>
                      <w14:lumOff w14:val="5000"/>
                    </w14:schemeClr>
                  </w14:solidFill>
                </w14:textFill>
              </w:rPr>
              <w:t>42</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进入高速切削机械操作工作场所，穿好工作服</w:t>
            </w:r>
            <w:r>
              <w:rPr>
                <w:rFonts w:hint="eastAsia" w:eastAsia="仿宋"/>
                <w:color w:val="0D0D0D" w:themeColor="text1" w:themeTint="F2"/>
                <w:kern w:val="0"/>
                <w:szCs w:val="21"/>
                <w14:textFill>
                  <w14:solidFill>
                    <w14:schemeClr w14:val="tx1">
                      <w14:lumMod w14:val="95000"/>
                      <w14:lumOff w14:val="5000"/>
                    </w14:schemeClr>
                  </w14:solidFill>
                </w14:textFill>
              </w:rPr>
              <w:t>工作鞋、</w:t>
            </w:r>
            <w:r>
              <w:rPr>
                <w:rFonts w:eastAsia="仿宋"/>
                <w:color w:val="0D0D0D" w:themeColor="text1" w:themeTint="F2"/>
                <w:kern w:val="0"/>
                <w:szCs w:val="21"/>
                <w14:textFill>
                  <w14:solidFill>
                    <w14:schemeClr w14:val="tx1">
                      <w14:lumMod w14:val="95000"/>
                      <w14:lumOff w14:val="5000"/>
                    </w14:schemeClr>
                  </w14:solidFill>
                </w14:textFill>
              </w:rPr>
              <w:t>戴好防护眼镜</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扣紧衣袖口</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戴好工作帽</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长发学生</w:t>
            </w:r>
            <w:r>
              <w:rPr>
                <w:rFonts w:eastAsia="仿宋"/>
                <w:color w:val="0D0D0D" w:themeColor="text1" w:themeTint="F2"/>
                <w:kern w:val="0"/>
                <w14:textFill>
                  <w14:solidFill>
                    <w14:schemeClr w14:val="tx1">
                      <w14:lumMod w14:val="95000"/>
                      <w14:lumOff w14:val="5000"/>
                    </w14:schemeClr>
                  </w14:solidFill>
                </w14:textFill>
              </w:rPr>
              <w:t>必须将长发盘在工作帽内</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，禁止戴手套、长围巾、领带、手镯等配饰物，禁穿拖鞋、高跟鞋等</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设备运转时严禁用手调整工件</w:t>
            </w:r>
          </w:p>
        </w:tc>
        <w:tc>
          <w:tcPr>
            <w:tcW w:w="2543"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11.2.3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铸锻及热处理实验应满足场地和防护要求</w:t>
            </w:r>
          </w:p>
        </w:tc>
        <w:tc>
          <w:tcPr>
            <w:tcW w:w="7660"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43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铸造实验场地宽敞、通道畅通，使用设备前，操作者要按要求穿戴好防护用品；</w:t>
            </w:r>
          </w:p>
          <w:p>
            <w:pPr>
              <w:keepNext w:val="0"/>
              <w:keepLines w:val="0"/>
              <w:pageBreakBefore w:val="0"/>
              <w:widowControl/>
              <w:kinsoku/>
              <w:wordWrap/>
              <w:overflowPunct/>
              <w:topLinePunct w:val="0"/>
              <w:autoSpaceDE/>
              <w:autoSpaceDN/>
              <w:bidi w:val="0"/>
              <w:adjustRightInd/>
              <w:snapToGrid/>
              <w:spacing w:line="28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44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盐浴炉加热零件必须预先烘干，并用铁丝绑牢，缓慢放入炉中，以防盐液炸崩烫伤；</w:t>
            </w:r>
          </w:p>
          <w:p>
            <w:pPr>
              <w:keepNext w:val="0"/>
              <w:keepLines w:val="0"/>
              <w:pageBreakBefore w:val="0"/>
              <w:widowControl/>
              <w:kinsoku/>
              <w:wordWrap/>
              <w:overflowPunct/>
              <w:topLinePunct w:val="0"/>
              <w:autoSpaceDE/>
              <w:autoSpaceDN/>
              <w:bidi w:val="0"/>
              <w:adjustRightInd/>
              <w:snapToGrid/>
              <w:spacing w:line="28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45</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淬火油槽不得有水，油量不能过少，以免发生火灾；</w:t>
            </w:r>
          </w:p>
          <w:p>
            <w:pPr>
              <w:keepNext w:val="0"/>
              <w:keepLines w:val="0"/>
              <w:pageBreakBefore w:val="0"/>
              <w:widowControl/>
              <w:kinsoku/>
              <w:wordWrap/>
              <w:overflowPunct/>
              <w:topLinePunct w:val="0"/>
              <w:autoSpaceDE/>
              <w:autoSpaceDN/>
              <w:bidi w:val="0"/>
              <w:adjustRightInd/>
              <w:snapToGrid/>
              <w:spacing w:line="280" w:lineRule="exact"/>
              <w:textAlignment w:val="auto"/>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46</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与铁水接触的一切工具，使用前必须加热，严禁将冷的工具伸入铁水内，以免引起爆炸；</w:t>
            </w:r>
          </w:p>
          <w:p>
            <w:pPr>
              <w:keepNext w:val="0"/>
              <w:keepLines w:val="0"/>
              <w:pageBreakBefore w:val="0"/>
              <w:widowControl/>
              <w:kinsoku/>
              <w:wordWrap/>
              <w:overflowPunct/>
              <w:topLinePunct w:val="0"/>
              <w:autoSpaceDE/>
              <w:autoSpaceDN/>
              <w:bidi w:val="0"/>
              <w:adjustRightInd/>
              <w:snapToGrid/>
              <w:spacing w:line="280" w:lineRule="exact"/>
              <w:textAlignment w:val="auto"/>
              <w:rPr>
                <w:rFonts w:eastAsia="仿宋"/>
                <w:b/>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47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 xml:space="preserve">锻压设备不得空打或大力敲打过薄锻件，锻造时锻件应达到850 </w:t>
            </w:r>
            <w:r>
              <w:rPr>
                <w:rFonts w:eastAsia="仿宋"/>
                <w:color w:val="0D0D0D" w:themeColor="text1" w:themeTint="F2"/>
                <w:kern w:val="0"/>
                <w:szCs w:val="21"/>
                <w:lang w:eastAsia="ja-JP"/>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以上，锻锤空置时应垫有木块</w:t>
            </w:r>
          </w:p>
        </w:tc>
        <w:tc>
          <w:tcPr>
            <w:tcW w:w="2543" w:type="dxa"/>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48" w:type="dxa"/>
            <w:tcMar>
              <w:left w:w="45" w:type="dxa"/>
              <w:right w:w="45" w:type="dxa"/>
            </w:tcMar>
            <w:vAlign w:val="center"/>
          </w:tcPr>
          <w:p>
            <w:pPr>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11.2.4</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高空作业应符合相关操作规程</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48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在坠落高度基准面2米</w:t>
            </w:r>
            <w:r>
              <w:rPr>
                <w:rFonts w:hint="eastAsia" w:eastAsia="仿宋"/>
                <w:color w:val="0D0D0D" w:themeColor="text1" w:themeTint="F2"/>
                <w:kern w:val="0"/>
                <w:szCs w:val="21"/>
                <w14:textFill>
                  <w14:solidFill>
                    <w14:schemeClr w14:val="tx1">
                      <w14:lumMod w14:val="95000"/>
                      <w14:lumOff w14:val="5000"/>
                    </w14:schemeClr>
                  </w14:solidFill>
                </w14:textFill>
              </w:rPr>
              <w:t>及</w:t>
            </w:r>
            <w:r>
              <w:rPr>
                <w:rFonts w:eastAsia="仿宋"/>
                <w:color w:val="0D0D0D" w:themeColor="text1" w:themeTint="F2"/>
                <w:kern w:val="0"/>
                <w:szCs w:val="21"/>
                <w14:textFill>
                  <w14:solidFill>
                    <w14:schemeClr w14:val="tx1">
                      <w14:lumMod w14:val="95000"/>
                      <w14:lumOff w14:val="5000"/>
                    </w14:schemeClr>
                  </w14:solidFill>
                </w14:textFill>
              </w:rPr>
              <w:t>以上有可能坠落的高处进行作业，须穿防滑鞋、佩戴安全帽、使用安全带；</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49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11.3</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hint="eastAsia" w:eastAsia="仿宋"/>
                <w:b/>
                <w:color w:val="0D0D0D" w:themeColor="text1" w:themeTint="F2"/>
                <w:kern w:val="0"/>
                <w:szCs w:val="21"/>
                <w14:textFill>
                  <w14:solidFill>
                    <w14:schemeClr w14:val="tx1">
                      <w14:lumMod w14:val="95000"/>
                      <w14:lumOff w14:val="5000"/>
                    </w14:schemeClr>
                  </w14:solidFill>
                </w14:textFill>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11.3.1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50</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各种电器设备及电线应始终保持干燥，防止浸湿，以防短路引起火灾或烧坏电气设备；</w:t>
            </w:r>
          </w:p>
          <w:p>
            <w:pPr>
              <w:widowControl/>
              <w:tabs>
                <w:tab w:val="left" w:pos="4321"/>
              </w:tabs>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51</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试验室内的功能间墙面都应设有专用接地母排，并设有多点接地引出端；</w:t>
            </w:r>
          </w:p>
          <w:p>
            <w:pPr>
              <w:widowControl/>
              <w:tabs>
                <w:tab w:val="left" w:pos="4321"/>
              </w:tabs>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szCs w:val="21"/>
                <w14:textFill>
                  <w14:solidFill>
                    <w14:schemeClr w14:val="tx1">
                      <w14:lumMod w14:val="95000"/>
                      <w14:lumOff w14:val="5000"/>
                    </w14:schemeClr>
                  </w14:solidFill>
                </w14:textFill>
              </w:rPr>
              <w:t>（2</w:t>
            </w:r>
            <w:r>
              <w:rPr>
                <w:rFonts w:eastAsia="仿宋"/>
                <w:color w:val="0D0D0D" w:themeColor="text1" w:themeTint="F2"/>
                <w:szCs w:val="21"/>
                <w14:textFill>
                  <w14:solidFill>
                    <w14:schemeClr w14:val="tx1">
                      <w14:lumMod w14:val="95000"/>
                      <w14:lumOff w14:val="5000"/>
                    </w14:schemeClr>
                  </w14:solidFill>
                </w14:textFill>
              </w:rPr>
              <w:t>52</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高压、大电流等强电实验室</w:t>
            </w:r>
            <w:r>
              <w:rPr>
                <w:rFonts w:eastAsia="仿宋"/>
                <w:color w:val="0D0D0D" w:themeColor="text1" w:themeTint="F2"/>
                <w:kern w:val="0"/>
                <w:szCs w:val="21"/>
                <w14:textFill>
                  <w14:solidFill>
                    <w14:schemeClr w14:val="tx1">
                      <w14:lumMod w14:val="95000"/>
                      <w14:lumOff w14:val="5000"/>
                    </w14:schemeClr>
                  </w14:solidFill>
                </w14:textFill>
              </w:rPr>
              <w:t>要设定安全距离，按规定设置安全警示牌、安全信号灯、联动式警铃、门锁，有安全隔离装置或屏蔽遮栏（由金属制成，并可靠接地，</w:t>
            </w:r>
            <w:r>
              <w:rPr>
                <w:rFonts w:eastAsia="仿宋"/>
                <w:color w:val="0D0D0D" w:themeColor="text1" w:themeTint="F2"/>
                <w:szCs w:val="21"/>
                <w14:textFill>
                  <w14:solidFill>
                    <w14:schemeClr w14:val="tx1">
                      <w14:lumMod w14:val="95000"/>
                      <w14:lumOff w14:val="5000"/>
                    </w14:schemeClr>
                  </w14:solidFill>
                </w14:textFill>
              </w:rPr>
              <w:t>高度不低于2米</w:t>
            </w:r>
            <w:r>
              <w:rPr>
                <w:rFonts w:eastAsia="仿宋"/>
                <w:color w:val="0D0D0D" w:themeColor="text1" w:themeTint="F2"/>
                <w:kern w:val="0"/>
                <w:szCs w:val="21"/>
                <w14:textFill>
                  <w14:solidFill>
                    <w14:schemeClr w14:val="tx1">
                      <w14:lumMod w14:val="95000"/>
                      <w14:lumOff w14:val="5000"/>
                    </w14:schemeClr>
                  </w14:solidFill>
                </w14:textFill>
              </w:rPr>
              <w:t>）；</w:t>
            </w:r>
          </w:p>
          <w:p>
            <w:pPr>
              <w:widowControl/>
              <w:tabs>
                <w:tab w:val="left" w:pos="4321"/>
              </w:tabs>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53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控制室（控制台）应铺橡胶、绝缘垫等；</w:t>
            </w:r>
          </w:p>
          <w:p>
            <w:pPr>
              <w:widowControl/>
              <w:tabs>
                <w:tab w:val="left" w:pos="4321"/>
              </w:tabs>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54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强电实验室禁止存放易燃、易爆、易腐品，保持通风散热；</w:t>
            </w:r>
          </w:p>
          <w:p>
            <w:pPr>
              <w:widowControl/>
              <w:tabs>
                <w:tab w:val="left" w:pos="4321"/>
              </w:tabs>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hint="eastAsia" w:eastAsia="仿宋"/>
                <w:color w:val="0D0D0D" w:themeColor="text1" w:themeTint="F2"/>
                <w:szCs w:val="21"/>
                <w14:textFill>
                  <w14:solidFill>
                    <w14:schemeClr w14:val="tx1">
                      <w14:lumMod w14:val="95000"/>
                      <w14:lumOff w14:val="5000"/>
                    </w14:schemeClr>
                  </w14:solidFill>
                </w14:textFill>
              </w:rPr>
              <w:t>（2</w:t>
            </w:r>
            <w:r>
              <w:rPr>
                <w:rFonts w:eastAsia="仿宋"/>
                <w:color w:val="0D0D0D" w:themeColor="text1" w:themeTint="F2"/>
                <w:szCs w:val="21"/>
                <w14:textFill>
                  <w14:solidFill>
                    <w14:schemeClr w14:val="tx1">
                      <w14:lumMod w14:val="95000"/>
                      <w14:lumOff w14:val="5000"/>
                    </w14:schemeClr>
                  </w14:solidFill>
                </w14:textFill>
              </w:rPr>
              <w:t>55</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应为设备配备残余电流泄放专用的接地系统；</w:t>
            </w:r>
          </w:p>
          <w:p>
            <w:pPr>
              <w:widowControl/>
              <w:tabs>
                <w:tab w:val="left" w:pos="4321"/>
              </w:tabs>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hint="eastAsia" w:eastAsia="仿宋"/>
                <w:color w:val="0D0D0D" w:themeColor="text1" w:themeTint="F2"/>
                <w:szCs w:val="21"/>
                <w14:textFill>
                  <w14:solidFill>
                    <w14:schemeClr w14:val="tx1">
                      <w14:lumMod w14:val="95000"/>
                      <w14:lumOff w14:val="5000"/>
                    </w14:schemeClr>
                  </w14:solidFill>
                </w14:textFill>
              </w:rPr>
              <w:t>（2</w:t>
            </w:r>
            <w:r>
              <w:rPr>
                <w:rFonts w:eastAsia="仿宋"/>
                <w:color w:val="0D0D0D" w:themeColor="text1" w:themeTint="F2"/>
                <w:szCs w:val="21"/>
                <w14:textFill>
                  <w14:solidFill>
                    <w14:schemeClr w14:val="tx1">
                      <w14:lumMod w14:val="95000"/>
                      <w14:lumOff w14:val="5000"/>
                    </w14:schemeClr>
                  </w14:solidFill>
                </w14:textFill>
              </w:rPr>
              <w:t>56</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禁止在有可燃气体泄露隐患的环境中使用电动工具；电烙铁有专门搁架，用毕立即切断电源；</w:t>
            </w:r>
          </w:p>
          <w:p>
            <w:pPr>
              <w:widowControl/>
              <w:tabs>
                <w:tab w:val="left" w:pos="4321"/>
              </w:tabs>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szCs w:val="21"/>
                <w14:textFill>
                  <w14:solidFill>
                    <w14:schemeClr w14:val="tx1">
                      <w14:lumMod w14:val="95000"/>
                      <w14:lumOff w14:val="5000"/>
                    </w14:schemeClr>
                  </w14:solidFill>
                </w14:textFill>
              </w:rPr>
              <w:t>（2</w:t>
            </w:r>
            <w:r>
              <w:rPr>
                <w:rFonts w:eastAsia="仿宋"/>
                <w:color w:val="0D0D0D" w:themeColor="text1" w:themeTint="F2"/>
                <w:szCs w:val="21"/>
                <w14:textFill>
                  <w14:solidFill>
                    <w14:schemeClr w14:val="tx1">
                      <w14:lumMod w14:val="95000"/>
                      <w14:lumOff w14:val="5000"/>
                    </w14:schemeClr>
                  </w14:solidFill>
                </w14:textFill>
              </w:rPr>
              <w:t>57</w:t>
            </w:r>
            <w:r>
              <w:rPr>
                <w:rFonts w:hint="eastAsia" w:eastAsia="仿宋"/>
                <w:color w:val="0D0D0D" w:themeColor="text1" w:themeTint="F2"/>
                <w:szCs w:val="21"/>
                <w14:textFill>
                  <w14:solidFill>
                    <w14:schemeClr w14:val="tx1">
                      <w14:lumMod w14:val="95000"/>
                      <w14:lumOff w14:val="5000"/>
                    </w14:schemeClr>
                  </w14:solidFill>
                </w14:textFill>
              </w:rPr>
              <w:t>）</w:t>
            </w:r>
            <w:r>
              <w:rPr>
                <w:rFonts w:eastAsia="仿宋"/>
                <w:color w:val="0D0D0D" w:themeColor="text1" w:themeTint="F2"/>
                <w:szCs w:val="21"/>
                <w14:textFill>
                  <w14:solidFill>
                    <w14:schemeClr w14:val="tx1">
                      <w14:lumMod w14:val="95000"/>
                      <w14:lumOff w14:val="5000"/>
                    </w14:schemeClr>
                  </w14:solidFill>
                </w14:textFill>
              </w:rPr>
              <w:t>强磁设备应配备与大地相连的金属屏蔽网</w:t>
            </w:r>
          </w:p>
        </w:tc>
        <w:tc>
          <w:tcPr>
            <w:tcW w:w="2543" w:type="dxa"/>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11.3.2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操作电气设备应配备合适的防护器具</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58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强电类实验必须二人（含）以上，操作时应戴绝缘手套；防护器具按规定进行周期试验或定期更换；</w:t>
            </w:r>
            <w:r>
              <w:rPr>
                <w:rFonts w:eastAsia="仿宋"/>
                <w:color w:val="0D0D0D" w:themeColor="text1" w:themeTint="F2"/>
                <w:szCs w:val="21"/>
                <w14:textFill>
                  <w14:solidFill>
                    <w14:schemeClr w14:val="tx1">
                      <w14:lumMod w14:val="95000"/>
                      <w14:lumOff w14:val="5000"/>
                    </w14:schemeClr>
                  </w14:solidFill>
                </w14:textFill>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11.4</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11.4.1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激光实验室配有完备的安全屏蔽设施</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bCs/>
                <w:color w:val="0D0D0D" w:themeColor="text1" w:themeTint="F2"/>
                <w:kern w:val="0"/>
                <w:szCs w:val="21"/>
                <w14:textFill>
                  <w14:solidFill>
                    <w14:schemeClr w14:val="tx1">
                      <w14:lumMod w14:val="95000"/>
                      <w14:lumOff w14:val="5000"/>
                    </w14:schemeClr>
                  </w14:solidFill>
                </w14:textFill>
              </w:rPr>
              <w:t>（2</w:t>
            </w:r>
            <w:r>
              <w:rPr>
                <w:rFonts w:eastAsia="仿宋"/>
                <w:bCs/>
                <w:color w:val="0D0D0D" w:themeColor="text1" w:themeTint="F2"/>
                <w:kern w:val="0"/>
                <w:szCs w:val="21"/>
                <w14:textFill>
                  <w14:solidFill>
                    <w14:schemeClr w14:val="tx1">
                      <w14:lumMod w14:val="95000"/>
                      <w14:lumOff w14:val="5000"/>
                    </w14:schemeClr>
                  </w14:solidFill>
                </w14:textFill>
              </w:rPr>
              <w:t>59</w:t>
            </w: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功率较大的激光器有互锁装置、防护罩</w:t>
            </w: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11.4.2</w:t>
            </w:r>
          </w:p>
        </w:tc>
        <w:tc>
          <w:tcPr>
            <w:tcW w:w="382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激光实验时须佩戴合适的个人防护用具</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bCs/>
                <w:color w:val="0D0D0D" w:themeColor="text1" w:themeTint="F2"/>
                <w:kern w:val="0"/>
                <w:szCs w:val="21"/>
                <w14:textFill>
                  <w14:solidFill>
                    <w14:schemeClr w14:val="tx1">
                      <w14:lumMod w14:val="95000"/>
                      <w14:lumOff w14:val="5000"/>
                    </w14:schemeClr>
                  </w14:solidFill>
                </w14:textFill>
              </w:rPr>
              <w:t>（2</w:t>
            </w:r>
            <w:r>
              <w:rPr>
                <w:rFonts w:eastAsia="仿宋"/>
                <w:bCs/>
                <w:color w:val="0D0D0D" w:themeColor="text1" w:themeTint="F2"/>
                <w:kern w:val="0"/>
                <w:szCs w:val="21"/>
                <w14:textFill>
                  <w14:solidFill>
                    <w14:schemeClr w14:val="tx1">
                      <w14:lumMod w14:val="95000"/>
                      <w14:lumOff w14:val="5000"/>
                    </w14:schemeClr>
                  </w14:solidFill>
                </w14:textFill>
              </w:rPr>
              <w:t>60</w:t>
            </w: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操作人员穿戴防护眼镜等防护用品、不带手表等能反光的物品</w:t>
            </w: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szCs w:val="21"/>
                <w:shd w:val="clear" w:color="auto" w:fill="FFFFFF"/>
                <w14:textFill>
                  <w14:solidFill>
                    <w14:schemeClr w14:val="tx1">
                      <w14:lumMod w14:val="95000"/>
                      <w14:lumOff w14:val="5000"/>
                    </w14:schemeClr>
                  </w14:solidFill>
                </w14:textFill>
              </w:rPr>
              <w:t>禁止直视激光束和它的反向光束，禁止对激光器件做任何目视准直操作</w:t>
            </w:r>
            <w:r>
              <w:rPr>
                <w:rFonts w:hint="eastAsia" w:eastAsia="仿宋"/>
                <w:color w:val="0D0D0D" w:themeColor="text1" w:themeTint="F2"/>
                <w:szCs w:val="21"/>
                <w:shd w:val="clear" w:color="auto" w:fill="FFFFFF"/>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禁止用眼睛检查激光器故障，激光器必须在断电情况下进行检查</w:t>
            </w:r>
          </w:p>
        </w:tc>
        <w:tc>
          <w:tcPr>
            <w:tcW w:w="2543" w:type="dxa"/>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11.4.3</w:t>
            </w:r>
          </w:p>
        </w:tc>
        <w:tc>
          <w:tcPr>
            <w:tcW w:w="382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Cs/>
                <w:color w:val="0D0D0D" w:themeColor="text1" w:themeTint="F2"/>
                <w:kern w:val="0"/>
                <w:szCs w:val="21"/>
                <w14:textFill>
                  <w14:solidFill>
                    <w14:schemeClr w14:val="tx1">
                      <w14:lumMod w14:val="95000"/>
                      <w14:lumOff w14:val="5000"/>
                    </w14:schemeClr>
                  </w14:solidFill>
                </w14:textFill>
              </w:rPr>
              <w:t>警告标识</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bCs/>
                <w:color w:val="0D0D0D" w:themeColor="text1" w:themeTint="F2"/>
                <w:kern w:val="0"/>
                <w:szCs w:val="21"/>
                <w14:textFill>
                  <w14:solidFill>
                    <w14:schemeClr w14:val="tx1">
                      <w14:lumMod w14:val="95000"/>
                      <w14:lumOff w14:val="5000"/>
                    </w14:schemeClr>
                  </w14:solidFill>
                </w14:textFill>
              </w:rPr>
              <w:t>（2</w:t>
            </w:r>
            <w:r>
              <w:rPr>
                <w:rFonts w:eastAsia="仿宋"/>
                <w:bCs/>
                <w:color w:val="0D0D0D" w:themeColor="text1" w:themeTint="F2"/>
                <w:kern w:val="0"/>
                <w:szCs w:val="21"/>
                <w14:textFill>
                  <w14:solidFill>
                    <w14:schemeClr w14:val="tx1">
                      <w14:lumMod w14:val="95000"/>
                      <w14:lumOff w14:val="5000"/>
                    </w14:schemeClr>
                  </w14:solidFill>
                </w14:textFill>
              </w:rPr>
              <w:t>61</w:t>
            </w:r>
            <w:r>
              <w:rPr>
                <w:rFonts w:hint="eastAsia" w:eastAsia="仿宋"/>
                <w:bCs/>
                <w:color w:val="0D0D0D" w:themeColor="text1" w:themeTint="F2"/>
                <w:kern w:val="0"/>
                <w:szCs w:val="21"/>
                <w14:textFill>
                  <w14:solidFill>
                    <w14:schemeClr w14:val="tx1">
                      <w14:lumMod w14:val="95000"/>
                      <w14:lumOff w14:val="5000"/>
                    </w14:schemeClr>
                  </w14:solidFill>
                </w14:textFill>
              </w:rPr>
              <w:t>）</w:t>
            </w:r>
            <w:r>
              <w:rPr>
                <w:rFonts w:eastAsia="仿宋"/>
                <w:bCs/>
                <w:color w:val="0D0D0D" w:themeColor="text1" w:themeTint="F2"/>
                <w:kern w:val="0"/>
                <w:szCs w:val="21"/>
                <w14:textFill>
                  <w14:solidFill>
                    <w14:schemeClr w14:val="tx1">
                      <w14:lumMod w14:val="95000"/>
                      <w14:lumOff w14:val="5000"/>
                    </w14:schemeClr>
                  </w14:solidFill>
                </w14:textFill>
              </w:rPr>
              <w:t>所有激光区域内张贴警告标识</w:t>
            </w:r>
          </w:p>
        </w:tc>
        <w:tc>
          <w:tcPr>
            <w:tcW w:w="2543" w:type="dxa"/>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11.5</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11.5.1</w:t>
            </w:r>
          </w:p>
        </w:tc>
        <w:tc>
          <w:tcPr>
            <w:tcW w:w="3820" w:type="dxa"/>
            <w:tcMar>
              <w:left w:w="45" w:type="dxa"/>
              <w:right w:w="45" w:type="dxa"/>
            </w:tcMar>
            <w:vAlign w:val="center"/>
          </w:tcPr>
          <w:p>
            <w:pPr>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14:textFill>
                  <w14:solidFill>
                    <w14:schemeClr w14:val="tx1">
                      <w14:lumMod w14:val="95000"/>
                      <w14:lumOff w14:val="5000"/>
                    </w14:schemeClr>
                  </w14:solidFill>
                </w14:textFill>
              </w:rPr>
              <w:t>粉尘爆炸危险场所，</w:t>
            </w:r>
            <w:r>
              <w:rPr>
                <w:rFonts w:eastAsia="仿宋"/>
                <w:color w:val="0D0D0D" w:themeColor="text1" w:themeTint="F2"/>
                <w:kern w:val="0"/>
                <w:szCs w:val="21"/>
                <w14:textFill>
                  <w14:solidFill>
                    <w14:schemeClr w14:val="tx1">
                      <w14:lumMod w14:val="95000"/>
                      <w14:lumOff w14:val="5000"/>
                    </w14:schemeClr>
                  </w14:solidFill>
                </w14:textFill>
              </w:rPr>
              <w:t>应选用防爆型的电气设备</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62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防爆灯、防爆电气开关，导线敷设应选用镀锌管或水煤气管，必须达到整体防爆要求；</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63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粉尘加工要有除尘装置，除尘器符合防静电安全要求，除尘设施应有阻爆、隔爆、泄爆装置</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color w:val="0D0D0D" w:themeColor="text1" w:themeTint="F2"/>
                <w:kern w:val="0"/>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11.5.2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产生粉尘的实验场所，须穿戴合适的个人防护用具</w:t>
            </w:r>
          </w:p>
        </w:tc>
        <w:tc>
          <w:tcPr>
            <w:tcW w:w="7660" w:type="dxa"/>
            <w:tcMar>
              <w:left w:w="45" w:type="dxa"/>
              <w:right w:w="45" w:type="dxa"/>
            </w:tcMar>
            <w:vAlign w:val="center"/>
          </w:tcPr>
          <w:p>
            <w:pPr>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14:textFill>
                  <w14:solidFill>
                    <w14:schemeClr w14:val="tx1">
                      <w14:lumMod w14:val="95000"/>
                      <w14:lumOff w14:val="5000"/>
                    </w14:schemeClr>
                  </w14:solidFill>
                </w14:textFill>
              </w:rPr>
              <w:t>（2</w:t>
            </w:r>
            <w:r>
              <w:rPr>
                <w:rFonts w:eastAsia="仿宋"/>
                <w:color w:val="0D0D0D" w:themeColor="text1" w:themeTint="F2"/>
                <w:kern w:val="0"/>
                <w14:textFill>
                  <w14:solidFill>
                    <w14:schemeClr w14:val="tx1">
                      <w14:lumMod w14:val="95000"/>
                      <w14:lumOff w14:val="5000"/>
                    </w14:schemeClr>
                  </w14:solidFill>
                </w14:textFill>
              </w:rPr>
              <w:t>64</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粉尘爆炸危险场所</w:t>
            </w:r>
            <w:r>
              <w:rPr>
                <w:rFonts w:eastAsia="仿宋"/>
                <w:color w:val="0D0D0D" w:themeColor="text1" w:themeTint="F2"/>
                <w:kern w:val="0"/>
                <w:szCs w:val="21"/>
                <w14:textFill>
                  <w14:solidFill>
                    <w14:schemeClr w14:val="tx1">
                      <w14:lumMod w14:val="95000"/>
                      <w14:lumOff w14:val="5000"/>
                    </w14:schemeClr>
                  </w14:solidFill>
                </w14:textFill>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11.5.3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65</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粉尘浓度较高的场所，</w:t>
            </w:r>
            <w:r>
              <w:rPr>
                <w:rFonts w:hint="eastAsia" w:eastAsia="仿宋"/>
                <w:color w:val="0D0D0D" w:themeColor="text1" w:themeTint="F2"/>
                <w:kern w:val="0"/>
                <w:szCs w:val="21"/>
                <w14:textFill>
                  <w14:solidFill>
                    <w14:schemeClr w14:val="tx1">
                      <w14:lumMod w14:val="95000"/>
                      <w14:lumOff w14:val="5000"/>
                    </w14:schemeClr>
                  </w14:solidFill>
                </w14:textFill>
              </w:rPr>
              <w:t>适当配备加湿装置</w:t>
            </w:r>
            <w:r>
              <w:rPr>
                <w:rFonts w:eastAsia="仿宋"/>
                <w:color w:val="0D0D0D" w:themeColor="text1" w:themeTint="F2"/>
                <w:kern w:val="0"/>
                <w:szCs w:val="21"/>
                <w14:textFill>
                  <w14:solidFill>
                    <w14:schemeClr w14:val="tx1">
                      <w14:lumMod w14:val="95000"/>
                      <w14:lumOff w14:val="5000"/>
                    </w14:schemeClr>
                  </w14:solidFill>
                </w14:textFill>
              </w:rPr>
              <w:t xml:space="preserve">；配备合适的灭火装置 </w:t>
            </w:r>
          </w:p>
        </w:tc>
        <w:tc>
          <w:tcPr>
            <w:tcW w:w="2543" w:type="dxa"/>
            <w:tcMar>
              <w:left w:w="45" w:type="dxa"/>
              <w:right w:w="45" w:type="dxa"/>
            </w:tcMar>
            <w:vAlign w:val="center"/>
          </w:tcPr>
          <w:p>
            <w:pPr>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12</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12.1</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12.1.1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符合《特种设备目录》要求的设备须取得《特种设备使用登记证》</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66</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12.1.2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起重机械作业人员、检验单位须有相关资质</w:t>
            </w:r>
          </w:p>
        </w:tc>
        <w:tc>
          <w:tcPr>
            <w:tcW w:w="7660" w:type="dxa"/>
            <w:tcMar>
              <w:left w:w="45" w:type="dxa"/>
              <w:right w:w="45" w:type="dxa"/>
            </w:tcMar>
            <w:vAlign w:val="center"/>
          </w:tcPr>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67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起重机指挥、起重机司机须取得《特种设备作业人员证》，持证上岗，并每4年复审一次；</w:t>
            </w:r>
          </w:p>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68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委托有资质单位进行定期检验，并将定期检验合格证置于特种设备显著位置</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12.1.3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起重机械需定期保养，设置警示标识，安装防护设施</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69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在用起重机械至少每月进行一次日常维护保养和自行检查，并作记录；</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70</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制定安全操作规程，并在周边醒目位置张贴警示标识，有必要的防护措施；</w:t>
            </w: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71</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起重设备声光报警正常，室内起重设备</w:t>
            </w:r>
            <w:r>
              <w:rPr>
                <w:rFonts w:hint="eastAsia" w:eastAsia="仿宋"/>
                <w:color w:val="0D0D0D" w:themeColor="text1" w:themeTint="F2"/>
                <w:kern w:val="0"/>
                <w:szCs w:val="21"/>
                <w14:textFill>
                  <w14:solidFill>
                    <w14:schemeClr w14:val="tx1">
                      <w14:lumMod w14:val="95000"/>
                      <w14:lumOff w14:val="5000"/>
                    </w14:schemeClr>
                  </w14:solidFill>
                </w14:textFill>
              </w:rPr>
              <w:t>应</w:t>
            </w:r>
            <w:r>
              <w:rPr>
                <w:rFonts w:eastAsia="仿宋"/>
                <w:color w:val="0D0D0D" w:themeColor="text1" w:themeTint="F2"/>
                <w:kern w:val="0"/>
                <w:szCs w:val="21"/>
                <w14:textFill>
                  <w14:solidFill>
                    <w14:schemeClr w14:val="tx1">
                      <w14:lumMod w14:val="95000"/>
                      <w14:lumOff w14:val="5000"/>
                    </w14:schemeClr>
                  </w14:solidFill>
                </w14:textFill>
              </w:rPr>
              <w:t>标有运行通道；</w:t>
            </w:r>
          </w:p>
          <w:p>
            <w:pPr>
              <w:widowControl/>
              <w:spacing w:line="300" w:lineRule="exact"/>
              <w:rPr>
                <w:rFonts w:eastAsia="仿宋"/>
                <w:b/>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72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废弃不用的起重机械应及时拆除</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12.2</w:t>
            </w:r>
          </w:p>
        </w:tc>
        <w:tc>
          <w:tcPr>
            <w:tcW w:w="14023" w:type="dxa"/>
            <w:gridSpan w:val="3"/>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12.2.1</w:t>
            </w:r>
          </w:p>
        </w:tc>
        <w:tc>
          <w:tcPr>
            <w:tcW w:w="3820" w:type="dxa"/>
            <w:tcMar>
              <w:left w:w="45" w:type="dxa"/>
              <w:right w:w="45" w:type="dxa"/>
            </w:tcMar>
            <w:vAlign w:val="center"/>
          </w:tcPr>
          <w:p>
            <w:pPr>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规定压力容器</w:t>
            </w:r>
            <w:r>
              <w:rPr>
                <w:rFonts w:eastAsia="仿宋"/>
                <w:bCs/>
                <w:color w:val="0D0D0D" w:themeColor="text1" w:themeTint="F2"/>
                <w:kern w:val="0"/>
                <w:szCs w:val="21"/>
                <w14:textFill>
                  <w14:solidFill>
                    <w14:schemeClr w14:val="tx1">
                      <w14:lumMod w14:val="95000"/>
                      <w14:lumOff w14:val="5000"/>
                    </w14:schemeClr>
                  </w14:solidFill>
                </w14:textFill>
              </w:rPr>
              <w:t>须</w:t>
            </w:r>
            <w:r>
              <w:rPr>
                <w:rFonts w:eastAsia="仿宋"/>
                <w:color w:val="0D0D0D" w:themeColor="text1" w:themeTint="F2"/>
                <w:kern w:val="0"/>
                <w:szCs w:val="21"/>
                <w14:textFill>
                  <w14:solidFill>
                    <w14:schemeClr w14:val="tx1">
                      <w14:lumMod w14:val="95000"/>
                      <w14:lumOff w14:val="5000"/>
                    </w14:schemeClr>
                  </w14:solidFill>
                </w14:textFill>
              </w:rPr>
              <w:t>取得《特种设备使用登记证》</w:t>
            </w:r>
          </w:p>
        </w:tc>
        <w:tc>
          <w:tcPr>
            <w:tcW w:w="7660" w:type="dxa"/>
            <w:tcMar>
              <w:left w:w="45" w:type="dxa"/>
              <w:right w:w="45" w:type="dxa"/>
            </w:tcMar>
            <w:vAlign w:val="center"/>
          </w:tcPr>
          <w:p>
            <w:pPr>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73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最高工作压力大于或者等于0.1MPa（表压）的气体、液化气体和最高工作温度高于或者等于标准沸点的液体、容积大于或者等于30L且内直径</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非圆形截面指截面内边界最大几何尺寸</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大于或者等于150mm的固定式容器和移动式容器；盛装公称工作压力大于或者等于0.2MPa（表压），且压力与容积的乘积大于或者等于1.0MPa</w:t>
            </w:r>
            <w:r>
              <w:rPr>
                <w:rFonts w:eastAsia="微软雅黑"/>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L的气体、液化气体和标准沸点等于或者低于60℃液体的气瓶；氧舱等盛装气体或者液体，承载一定压力的密闭设备，</w:t>
            </w:r>
            <w:r>
              <w:rPr>
                <w:rFonts w:eastAsia="仿宋"/>
                <w:bCs/>
                <w:color w:val="0D0D0D" w:themeColor="text1" w:themeTint="F2"/>
                <w:kern w:val="0"/>
                <w:szCs w:val="21"/>
                <w14:textFill>
                  <w14:solidFill>
                    <w14:schemeClr w14:val="tx1">
                      <w14:lumMod w14:val="95000"/>
                      <w14:lumOff w14:val="5000"/>
                    </w14:schemeClr>
                  </w14:solidFill>
                </w14:textFill>
              </w:rPr>
              <w:t>须</w:t>
            </w:r>
            <w:r>
              <w:rPr>
                <w:rFonts w:eastAsia="仿宋"/>
                <w:color w:val="0D0D0D" w:themeColor="text1" w:themeTint="F2"/>
                <w:kern w:val="0"/>
                <w:szCs w:val="21"/>
                <w14:textFill>
                  <w14:solidFill>
                    <w14:schemeClr w14:val="tx1">
                      <w14:lumMod w14:val="95000"/>
                      <w14:lumOff w14:val="5000"/>
                    </w14:schemeClr>
                  </w14:solidFill>
                </w14:textFill>
              </w:rPr>
              <w:t>取得《特种设备使用登记证》；设备铭牌上标明为简单压力容器不需办理</w:t>
            </w:r>
          </w:p>
        </w:tc>
        <w:tc>
          <w:tcPr>
            <w:tcW w:w="2543" w:type="dxa"/>
            <w:tcMar>
              <w:left w:w="45" w:type="dxa"/>
              <w:right w:w="45" w:type="dxa"/>
            </w:tcMar>
            <w:vAlign w:val="center"/>
          </w:tcPr>
          <w:p>
            <w:pPr>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12.2.2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压力容器作业人员、检验单位须有相关资质</w:t>
            </w:r>
          </w:p>
        </w:tc>
        <w:tc>
          <w:tcPr>
            <w:tcW w:w="7660" w:type="dxa"/>
            <w:tcMar>
              <w:left w:w="45" w:type="dxa"/>
              <w:right w:w="45" w:type="dxa"/>
            </w:tcMar>
            <w:vAlign w:val="center"/>
          </w:tcPr>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14:textFill>
                  <w14:solidFill>
                    <w14:schemeClr w14:val="tx1">
                      <w14:lumMod w14:val="95000"/>
                      <w14:lumOff w14:val="5000"/>
                    </w14:schemeClr>
                  </w14:solidFill>
                </w14:textFill>
              </w:rPr>
              <w:t>（2</w:t>
            </w:r>
            <w:r>
              <w:rPr>
                <w:rFonts w:eastAsia="仿宋"/>
                <w:color w:val="0D0D0D" w:themeColor="text1" w:themeTint="F2"/>
                <w:kern w:val="0"/>
                <w14:textFill>
                  <w14:solidFill>
                    <w14:schemeClr w14:val="tx1">
                      <w14:lumMod w14:val="95000"/>
                      <w14:lumOff w14:val="5000"/>
                    </w14:schemeClr>
                  </w14:solidFill>
                </w14:textFill>
              </w:rPr>
              <w:t>74</w:t>
            </w:r>
            <w:r>
              <w:rPr>
                <w:rFonts w:hint="eastAsia" w:eastAsia="仿宋"/>
                <w:color w:val="0D0D0D" w:themeColor="text1" w:themeTint="F2"/>
                <w:kern w:val="0"/>
                <w14:textFill>
                  <w14:solidFill>
                    <w14:schemeClr w14:val="tx1">
                      <w14:lumMod w14:val="95000"/>
                      <w14:lumOff w14:val="5000"/>
                    </w14:schemeClr>
                  </w14:solidFill>
                </w14:textFill>
              </w:rPr>
              <w:t>）</w:t>
            </w:r>
            <w:r>
              <w:rPr>
                <w:rFonts w:eastAsia="仿宋"/>
                <w:color w:val="0D0D0D" w:themeColor="text1" w:themeTint="F2"/>
                <w:kern w:val="0"/>
                <w14:textFill>
                  <w14:solidFill>
                    <w14:schemeClr w14:val="tx1">
                      <w14:lumMod w14:val="95000"/>
                      <w14:lumOff w14:val="5000"/>
                    </w14:schemeClr>
                  </w14:solidFill>
                </w14:textFill>
              </w:rPr>
              <w:t>快开门式压力容器操作人员、移动式压力容器充装人员、氧舱维护保养人员，</w:t>
            </w:r>
            <w:r>
              <w:rPr>
                <w:rFonts w:eastAsia="仿宋"/>
                <w:color w:val="0D0D0D" w:themeColor="text1" w:themeTint="F2"/>
                <w:kern w:val="0"/>
                <w:szCs w:val="21"/>
                <w14:textFill>
                  <w14:solidFill>
                    <w14:schemeClr w14:val="tx1">
                      <w14:lumMod w14:val="95000"/>
                      <w14:lumOff w14:val="5000"/>
                    </w14:schemeClr>
                  </w14:solidFill>
                </w14:textFill>
              </w:rPr>
              <w:t>取得《特种设备作业人员证》，持证上岗，并每4年复审一次；</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27</w:t>
            </w:r>
            <w:r>
              <w:rPr>
                <w:rFonts w:hint="eastAsia" w:eastAsia="仿宋"/>
                <w:color w:val="0D0D0D" w:themeColor="text1" w:themeTint="F2"/>
                <w:kern w:val="0"/>
                <w:szCs w:val="21"/>
                <w14:textFill>
                  <w14:solidFill>
                    <w14:schemeClr w14:val="tx1">
                      <w14:lumMod w14:val="95000"/>
                      <w14:lumOff w14:val="5000"/>
                    </w14:schemeClr>
                  </w14:solidFill>
                </w14:textFill>
              </w:rPr>
              <w:t>5）委托有资质单位进行定期检验，并将定期检验合格证置于特种设备显著位置；</w:t>
            </w:r>
          </w:p>
          <w:p>
            <w:pPr>
              <w:widowControl/>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276</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安全阀或压力表等附件需委托有资质单位定期校验或检定</w:t>
            </w:r>
          </w:p>
        </w:tc>
        <w:tc>
          <w:tcPr>
            <w:tcW w:w="2543" w:type="dxa"/>
            <w:tcMar>
              <w:left w:w="45" w:type="dxa"/>
              <w:right w:w="45" w:type="dxa"/>
            </w:tcMar>
            <w:vAlign w:val="center"/>
          </w:tcPr>
          <w:p>
            <w:pPr>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12.2.3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压力容器的存放区域合理，有安全警示标识</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77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大型实验气罐的存储场所应通风、干燥、防止雨（雪）淋、水浸，避免阳光直射，严禁明火和其它热源；</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78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大型实验气体（窒息、可燃类）罐必须放置在室外，周围设置隔离装置、安全警示标识；</w:t>
            </w:r>
          </w:p>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79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可燃性气罐</w:t>
            </w:r>
            <w:r>
              <w:rPr>
                <w:rFonts w:hint="eastAsia" w:eastAsia="仿宋"/>
                <w:color w:val="0D0D0D" w:themeColor="text1" w:themeTint="F2"/>
                <w:kern w:val="0"/>
                <w:szCs w:val="21"/>
                <w14:textFill>
                  <w14:solidFill>
                    <w14:schemeClr w14:val="tx1">
                      <w14:lumMod w14:val="95000"/>
                      <w14:lumOff w14:val="5000"/>
                    </w14:schemeClr>
                  </w14:solidFill>
                </w14:textFill>
              </w:rPr>
              <w:t>要</w:t>
            </w:r>
            <w:r>
              <w:rPr>
                <w:rFonts w:eastAsia="仿宋"/>
                <w:color w:val="0D0D0D" w:themeColor="text1" w:themeTint="F2"/>
                <w:kern w:val="0"/>
                <w:szCs w:val="21"/>
                <w14:textFill>
                  <w14:solidFill>
                    <w14:schemeClr w14:val="tx1">
                      <w14:lumMod w14:val="95000"/>
                      <w14:lumOff w14:val="5000"/>
                    </w14:schemeClr>
                  </w14:solidFill>
                </w14:textFill>
              </w:rPr>
              <w:t>远离火源热源</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12.2.4</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存储可燃、爆炸性气体的气罐满足防爆要求</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80</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容器的电器开关和熔断器都应设置在明显位置，同时应设避雷装置；</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81</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电气设施</w:t>
            </w:r>
            <w:r>
              <w:rPr>
                <w:rFonts w:hint="eastAsia" w:eastAsia="仿宋"/>
                <w:color w:val="0D0D0D" w:themeColor="text1" w:themeTint="F2"/>
                <w:kern w:val="0"/>
                <w:szCs w:val="21"/>
                <w14:textFill>
                  <w14:solidFill>
                    <w14:schemeClr w14:val="tx1">
                      <w14:lumMod w14:val="95000"/>
                      <w14:lumOff w14:val="5000"/>
                    </w14:schemeClr>
                  </w14:solidFill>
                </w14:textFill>
              </w:rPr>
              <w:t>应</w:t>
            </w:r>
            <w:r>
              <w:rPr>
                <w:rFonts w:eastAsia="仿宋"/>
                <w:color w:val="0D0D0D" w:themeColor="text1" w:themeTint="F2"/>
                <w:kern w:val="0"/>
                <w:szCs w:val="21"/>
                <w14:textFill>
                  <w14:solidFill>
                    <w14:schemeClr w14:val="tx1">
                      <w14:lumMod w14:val="95000"/>
                      <w14:lumOff w14:val="5000"/>
                    </w14:schemeClr>
                  </w14:solidFill>
                </w14:textFill>
              </w:rPr>
              <w:t>防爆，避雷装置接地良好</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12.2.5</w:t>
            </w:r>
          </w:p>
        </w:tc>
        <w:tc>
          <w:tcPr>
            <w:tcW w:w="3820" w:type="dxa"/>
            <w:tcMar>
              <w:left w:w="45" w:type="dxa"/>
              <w:right w:w="45" w:type="dxa"/>
            </w:tcMar>
            <w:vAlign w:val="center"/>
          </w:tcPr>
          <w:p>
            <w:pPr>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压力容器应有专用管理制度和操作规程，实行使用登记</w:t>
            </w:r>
          </w:p>
        </w:tc>
        <w:tc>
          <w:tcPr>
            <w:tcW w:w="7660" w:type="dxa"/>
            <w:tcMar>
              <w:left w:w="45" w:type="dxa"/>
              <w:right w:w="45" w:type="dxa"/>
            </w:tcMar>
            <w:vAlign w:val="center"/>
          </w:tcPr>
          <w:p>
            <w:pPr>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82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制定大型气罐管理制度和操作规程，定期检查大型实验气罐外观及附件是否完好</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落实维护、保养及安全责任制；</w:t>
            </w:r>
          </w:p>
          <w:p>
            <w:pPr>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83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实行使用登记制度，及时填写使用登记表</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12.3</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12.3.1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84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pPr>
              <w:widowControl/>
              <w:spacing w:line="300" w:lineRule="exact"/>
              <w:rPr>
                <w:rFonts w:ascii="仿宋" w:hAnsi="仿宋"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12.3.2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作业人员取得《特种设备作业人员证》，持证上岗</w:t>
            </w:r>
          </w:p>
        </w:tc>
        <w:tc>
          <w:tcPr>
            <w:tcW w:w="7660" w:type="dxa"/>
            <w:tcMar>
              <w:left w:w="45" w:type="dxa"/>
              <w:right w:w="45" w:type="dxa"/>
            </w:tcMar>
            <w:vAlign w:val="center"/>
          </w:tcPr>
          <w:p>
            <w:pPr>
              <w:rPr>
                <w:rFonts w:eastAsia="仿宋"/>
                <w:b/>
                <w:bCs/>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85</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作业人员的《特种设备作业人员证》在有效期内</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12.3.3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委托有资质单位进行定期检验</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86</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合格证在有效期内</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12.4</w:t>
            </w:r>
          </w:p>
        </w:tc>
        <w:tc>
          <w:tcPr>
            <w:tcW w:w="14023" w:type="dxa"/>
            <w:gridSpan w:val="3"/>
            <w:tcMar>
              <w:left w:w="45" w:type="dxa"/>
              <w:right w:w="45" w:type="dxa"/>
            </w:tcMar>
            <w:vAlign w:val="center"/>
          </w:tcPr>
          <w:p>
            <w:pPr>
              <w:widowControl/>
              <w:spacing w:line="300" w:lineRule="exact"/>
              <w:rPr>
                <w:rFonts w:eastAsia="仿宋"/>
                <w:b/>
                <w:color w:val="0D0D0D" w:themeColor="text1" w:themeTint="F2"/>
                <w:kern w:val="0"/>
                <w:szCs w:val="21"/>
                <w14:textFill>
                  <w14:solidFill>
                    <w14:schemeClr w14:val="tx1">
                      <w14:lumMod w14:val="95000"/>
                      <w14:lumOff w14:val="5000"/>
                    </w14:schemeClr>
                  </w14:solidFill>
                </w14:textFill>
              </w:rPr>
            </w:pPr>
            <w:r>
              <w:rPr>
                <w:rFonts w:eastAsia="仿宋"/>
                <w:b/>
                <w:color w:val="0D0D0D" w:themeColor="text1" w:themeTint="F2"/>
                <w:kern w:val="0"/>
                <w:szCs w:val="21"/>
                <w14:textFill>
                  <w14:solidFill>
                    <w14:schemeClr w14:val="tx1">
                      <w14:lumMod w14:val="95000"/>
                      <w14:lumOff w14:val="5000"/>
                    </w14:schemeClr>
                  </w14:solidFill>
                </w14:textFill>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12.4.1</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贮存危险化学品的冰箱满足防爆要求</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87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12.4.2</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88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标识至少包括：名称、使用人、日期等，并经常清理；</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89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实验室冰箱中试剂瓶螺口拧紧，无开口容器</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不</w:t>
            </w:r>
            <w:r>
              <w:rPr>
                <w:rFonts w:hint="eastAsia" w:eastAsia="仿宋"/>
                <w:color w:val="0D0D0D" w:themeColor="text1" w:themeTint="F2"/>
                <w:kern w:val="0"/>
                <w:szCs w:val="21"/>
                <w14:textFill>
                  <w14:solidFill>
                    <w14:schemeClr w14:val="tx1">
                      <w14:lumMod w14:val="95000"/>
                      <w14:lumOff w14:val="5000"/>
                    </w14:schemeClr>
                  </w14:solidFill>
                </w14:textFill>
              </w:rPr>
              <w:t>得</w:t>
            </w:r>
            <w:r>
              <w:rPr>
                <w:rFonts w:eastAsia="仿宋"/>
                <w:color w:val="0D0D0D" w:themeColor="text1" w:themeTint="F2"/>
                <w:kern w:val="0"/>
                <w:szCs w:val="21"/>
                <w14:textFill>
                  <w14:solidFill>
                    <w14:schemeClr w14:val="tx1">
                      <w14:lumMod w14:val="95000"/>
                      <w14:lumOff w14:val="5000"/>
                    </w14:schemeClr>
                  </w14:solidFill>
                </w14:textFill>
              </w:rPr>
              <w:t>放置非实验用食品</w:t>
            </w:r>
            <w:r>
              <w:rPr>
                <w:rFonts w:hint="eastAsia" w:eastAsia="仿宋"/>
                <w:color w:val="0D0D0D" w:themeColor="text1" w:themeTint="F2"/>
                <w:kern w:val="0"/>
                <w:szCs w:val="21"/>
                <w14:textFill>
                  <w14:solidFill>
                    <w14:schemeClr w14:val="tx1">
                      <w14:lumMod w14:val="95000"/>
                      <w14:lumOff w14:val="5000"/>
                    </w14:schemeClr>
                  </w14:solidFill>
                </w14:textFill>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12.4.3</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90</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冰箱不超期使用（一般使用期限控制为10年），如超期使用需经审批；</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91</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冰箱周围留出足够空间，周围不堆放杂物，不影响散热</w:t>
            </w:r>
            <w:r>
              <w:rPr>
                <w:rFonts w:hint="eastAsia" w:eastAsia="仿宋"/>
                <w:color w:val="0D0D0D" w:themeColor="text1" w:themeTint="F2"/>
                <w:kern w:val="0"/>
                <w:szCs w:val="21"/>
                <w14:textFill>
                  <w14:solidFill>
                    <w14:schemeClr w14:val="tx1">
                      <w14:lumMod w14:val="95000"/>
                      <w14:lumOff w14:val="5000"/>
                    </w14:schemeClr>
                  </w14:solidFill>
                </w14:textFill>
              </w:rPr>
              <w:t>；</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92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烘箱、电阻炉不超期使用（一般使用期限控制为12年），如超期使用需经审批；</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93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加热设备应放置在通风干燥处，不直接放置在木桌、木板等易燃物品上，周围有一定的散热空间，设备旁不能放置易燃易爆化学品、气体钢瓶、冰箱、杂物等</w:t>
            </w:r>
            <w:r>
              <w:rPr>
                <w:rFonts w:hint="eastAsia" w:eastAsia="仿宋"/>
                <w:color w:val="0D0D0D" w:themeColor="text1" w:themeTint="F2"/>
                <w:kern w:val="0"/>
                <w:szCs w:val="21"/>
                <w14:textFill>
                  <w14:solidFill>
                    <w14:schemeClr w14:val="tx1">
                      <w14:lumMod w14:val="95000"/>
                      <w14:lumOff w14:val="5000"/>
                    </w14:schemeClr>
                  </w14:solidFill>
                </w14:textFill>
              </w:rPr>
              <w:t>，应远离配电箱、插座、接线板等设备</w:t>
            </w:r>
          </w:p>
        </w:tc>
        <w:tc>
          <w:tcPr>
            <w:tcW w:w="2543" w:type="dxa"/>
            <w:tcMar>
              <w:left w:w="45" w:type="dxa"/>
              <w:right w:w="45" w:type="dxa"/>
            </w:tcMar>
            <w:vAlign w:val="center"/>
          </w:tcPr>
          <w:p>
            <w:pPr>
              <w:widowControl/>
              <w:spacing w:line="300" w:lineRule="exact"/>
              <w:rPr>
                <w:rFonts w:eastAsia="仿宋"/>
                <w:bCs/>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12.4.4</w:t>
            </w:r>
          </w:p>
        </w:tc>
        <w:tc>
          <w:tcPr>
            <w:tcW w:w="382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烘箱、电阻炉等加热设备须制定安全操作规程</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94</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加热设备周边醒目位置张贴有高温警示标识，并有必要的防护措施</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张贴有安全操作规程、警示标识；</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95</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烘箱等加热设备内不准烘烤易燃易爆试剂及易燃物品；</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96</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不</w:t>
            </w:r>
            <w:r>
              <w:rPr>
                <w:rFonts w:hint="eastAsia" w:eastAsia="仿宋"/>
                <w:color w:val="0D0D0D" w:themeColor="text1" w:themeTint="F2"/>
                <w:kern w:val="0"/>
                <w:szCs w:val="21"/>
                <w14:textFill>
                  <w14:solidFill>
                    <w14:schemeClr w14:val="tx1">
                      <w14:lumMod w14:val="95000"/>
                      <w14:lumOff w14:val="5000"/>
                    </w14:schemeClr>
                  </w14:solidFill>
                </w14:textFill>
              </w:rPr>
              <w:t>得</w:t>
            </w:r>
            <w:r>
              <w:rPr>
                <w:rFonts w:eastAsia="仿宋"/>
                <w:color w:val="0D0D0D" w:themeColor="text1" w:themeTint="F2"/>
                <w:kern w:val="0"/>
                <w:szCs w:val="21"/>
                <w14:textFill>
                  <w14:solidFill>
                    <w14:schemeClr w14:val="tx1">
                      <w14:lumMod w14:val="95000"/>
                      <w14:lumOff w14:val="5000"/>
                    </w14:schemeClr>
                  </w14:solidFill>
                </w14:textFill>
              </w:rPr>
              <w:t>使用塑料筐等易燃容器盛放实验物品在烘箱等加热设备内烘烤；</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97</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使用</w:t>
            </w:r>
            <w:r>
              <w:rPr>
                <w:rFonts w:hint="eastAsia" w:eastAsia="仿宋"/>
                <w:color w:val="0D0D0D" w:themeColor="text1" w:themeTint="F2"/>
                <w:kern w:val="0"/>
                <w:szCs w:val="21"/>
                <w14:textFill>
                  <w14:solidFill>
                    <w14:schemeClr w14:val="tx1">
                      <w14:lumMod w14:val="95000"/>
                      <w14:lumOff w14:val="5000"/>
                    </w14:schemeClr>
                  </w14:solidFill>
                </w14:textFill>
              </w:rPr>
              <w:t>烘箱</w:t>
            </w:r>
            <w:r>
              <w:rPr>
                <w:rFonts w:eastAsia="仿宋"/>
                <w:color w:val="0D0D0D" w:themeColor="text1" w:themeTint="F2"/>
                <w:kern w:val="0"/>
                <w:szCs w:val="21"/>
                <w14:textFill>
                  <w14:solidFill>
                    <w14:schemeClr w14:val="tx1">
                      <w14:lumMod w14:val="95000"/>
                      <w14:lumOff w14:val="5000"/>
                    </w14:schemeClr>
                  </w14:solidFill>
                </w14:textFill>
              </w:rPr>
              <w:t>完毕，清理物品、切断电源，确认其冷却至安全温度后方能离开；</w:t>
            </w: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98</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使用电阻炉等明火设备时有人值守；</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（2</w:t>
            </w:r>
            <w:r>
              <w:rPr>
                <w:rFonts w:eastAsia="仿宋"/>
                <w:color w:val="0D0D0D" w:themeColor="text1" w:themeTint="F2"/>
                <w:kern w:val="0"/>
                <w:szCs w:val="21"/>
                <w14:textFill>
                  <w14:solidFill>
                    <w14:schemeClr w14:val="tx1">
                      <w14:lumMod w14:val="95000"/>
                      <w14:lumOff w14:val="5000"/>
                    </w14:schemeClr>
                  </w14:solidFill>
                </w14:textFill>
              </w:rPr>
              <w:t>99</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使用加热设备时，温度较高的实验需有人值守或有实时监控措施</w:t>
            </w:r>
          </w:p>
        </w:tc>
        <w:tc>
          <w:tcPr>
            <w:tcW w:w="2543"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8"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12.4.5</w:t>
            </w:r>
          </w:p>
        </w:tc>
        <w:tc>
          <w:tcPr>
            <w:tcW w:w="3820" w:type="dxa"/>
            <w:tcMar>
              <w:left w:w="45" w:type="dxa"/>
              <w:right w:w="45" w:type="dxa"/>
            </w:tcMar>
            <w:vAlign w:val="center"/>
          </w:tcPr>
          <w:p>
            <w:pPr>
              <w:widowControl/>
              <w:spacing w:line="300" w:lineRule="exact"/>
              <w:rPr>
                <w:rFonts w:eastAsia="仿宋"/>
                <w:color w:val="0D0D0D" w:themeColor="text1" w:themeTint="F2"/>
                <w:szCs w:val="21"/>
                <w14:textFill>
                  <w14:solidFill>
                    <w14:schemeClr w14:val="tx1">
                      <w14:lumMod w14:val="95000"/>
                      <w14:lumOff w14:val="5000"/>
                    </w14:schemeClr>
                  </w14:solidFill>
                </w14:textFill>
              </w:rPr>
            </w:pPr>
            <w:r>
              <w:rPr>
                <w:rFonts w:eastAsia="仿宋"/>
                <w:color w:val="0D0D0D" w:themeColor="text1" w:themeTint="F2"/>
                <w:kern w:val="0"/>
                <w:szCs w:val="21"/>
                <w14:textFill>
                  <w14:solidFill>
                    <w14:schemeClr w14:val="tx1">
                      <w14:lumMod w14:val="95000"/>
                      <w14:lumOff w14:val="5000"/>
                    </w14:schemeClr>
                  </w14:solidFill>
                </w14:textFill>
              </w:rPr>
              <w:t>使用明火电炉或者电吹风须有安全防范举措</w:t>
            </w:r>
          </w:p>
        </w:tc>
        <w:tc>
          <w:tcPr>
            <w:tcW w:w="7660"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300</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涉及化学品的实验室不使用明火电炉</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如必须使用，须有安全防范措施；</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（3</w:t>
            </w:r>
            <w:r>
              <w:rPr>
                <w:rFonts w:eastAsia="仿宋"/>
                <w:color w:val="0D0D0D" w:themeColor="text1" w:themeTint="F2"/>
                <w:kern w:val="0"/>
                <w:szCs w:val="21"/>
                <w14:textFill>
                  <w14:solidFill>
                    <w14:schemeClr w14:val="tx1">
                      <w14:lumMod w14:val="95000"/>
                      <w14:lumOff w14:val="5000"/>
                    </w14:schemeClr>
                  </w14:solidFill>
                </w14:textFill>
              </w:rPr>
              <w:t>01</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不使用明火电炉加热易燃易爆试剂；</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（3</w:t>
            </w:r>
            <w:r>
              <w:rPr>
                <w:rFonts w:eastAsia="仿宋"/>
                <w:color w:val="0D0D0D" w:themeColor="text1" w:themeTint="F2"/>
                <w:kern w:val="0"/>
                <w:szCs w:val="21"/>
                <w14:textFill>
                  <w14:solidFill>
                    <w14:schemeClr w14:val="tx1">
                      <w14:lumMod w14:val="95000"/>
                      <w14:lumOff w14:val="5000"/>
                    </w14:schemeClr>
                  </w14:solidFill>
                </w14:textFill>
              </w:rPr>
              <w:t>02</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明火电炉、电吹风、电热枪等用毕，须及时拔除电源插头；</w:t>
            </w:r>
          </w:p>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r>
              <w:rPr>
                <w:rFonts w:hint="eastAsia" w:eastAsia="仿宋"/>
                <w:color w:val="0D0D0D" w:themeColor="text1" w:themeTint="F2"/>
                <w:kern w:val="0"/>
                <w:szCs w:val="21"/>
                <w14:textFill>
                  <w14:solidFill>
                    <w14:schemeClr w14:val="tx1">
                      <w14:lumMod w14:val="95000"/>
                      <w14:lumOff w14:val="5000"/>
                    </w14:schemeClr>
                  </w14:solidFill>
                </w14:textFill>
              </w:rPr>
              <w:t>（3</w:t>
            </w:r>
            <w:r>
              <w:rPr>
                <w:rFonts w:eastAsia="仿宋"/>
                <w:color w:val="0D0D0D" w:themeColor="text1" w:themeTint="F2"/>
                <w:kern w:val="0"/>
                <w:szCs w:val="21"/>
                <w14:textFill>
                  <w14:solidFill>
                    <w14:schemeClr w14:val="tx1">
                      <w14:lumMod w14:val="95000"/>
                      <w14:lumOff w14:val="5000"/>
                    </w14:schemeClr>
                  </w14:solidFill>
                </w14:textFill>
              </w:rPr>
              <w:t>03</w:t>
            </w:r>
            <w:r>
              <w:rPr>
                <w:rFonts w:hint="eastAsia" w:eastAsia="仿宋"/>
                <w:color w:val="0D0D0D" w:themeColor="text1" w:themeTint="F2"/>
                <w:kern w:val="0"/>
                <w:szCs w:val="21"/>
                <w14:textFill>
                  <w14:solidFill>
                    <w14:schemeClr w14:val="tx1">
                      <w14:lumMod w14:val="95000"/>
                      <w14:lumOff w14:val="5000"/>
                    </w14:schemeClr>
                  </w14:solidFill>
                </w14:textFill>
              </w:rPr>
              <w:t>）</w:t>
            </w:r>
            <w:r>
              <w:rPr>
                <w:rFonts w:eastAsia="仿宋"/>
                <w:color w:val="0D0D0D" w:themeColor="text1" w:themeTint="F2"/>
                <w:kern w:val="0"/>
                <w:szCs w:val="21"/>
                <w14:textFill>
                  <w14:solidFill>
                    <w14:schemeClr w14:val="tx1">
                      <w14:lumMod w14:val="95000"/>
                      <w14:lumOff w14:val="5000"/>
                    </w14:schemeClr>
                  </w14:solidFill>
                </w14:textFill>
              </w:rPr>
              <w:t>不</w:t>
            </w:r>
            <w:r>
              <w:rPr>
                <w:rFonts w:hint="eastAsia" w:eastAsia="仿宋"/>
                <w:color w:val="0D0D0D" w:themeColor="text1" w:themeTint="F2"/>
                <w:kern w:val="0"/>
                <w:szCs w:val="21"/>
                <w14:textFill>
                  <w14:solidFill>
                    <w14:schemeClr w14:val="tx1">
                      <w14:lumMod w14:val="95000"/>
                      <w14:lumOff w14:val="5000"/>
                    </w14:schemeClr>
                  </w14:solidFill>
                </w14:textFill>
              </w:rPr>
              <w:t>可</w:t>
            </w:r>
            <w:r>
              <w:rPr>
                <w:rFonts w:eastAsia="仿宋"/>
                <w:color w:val="0D0D0D" w:themeColor="text1" w:themeTint="F2"/>
                <w:kern w:val="0"/>
                <w:szCs w:val="21"/>
                <w14:textFill>
                  <w14:solidFill>
                    <w14:schemeClr w14:val="tx1">
                      <w14:lumMod w14:val="95000"/>
                      <w14:lumOff w14:val="5000"/>
                    </w14:schemeClr>
                  </w14:solidFill>
                </w14:textFill>
              </w:rPr>
              <w:t>用纸质、木质等材料自制红外灯烘箱</w:t>
            </w:r>
          </w:p>
        </w:tc>
        <w:tc>
          <w:tcPr>
            <w:tcW w:w="2543" w:type="dxa"/>
            <w:tcMar>
              <w:left w:w="45" w:type="dxa"/>
              <w:right w:w="45" w:type="dxa"/>
            </w:tcMar>
            <w:vAlign w:val="center"/>
          </w:tcPr>
          <w:p>
            <w:pPr>
              <w:widowControl/>
              <w:spacing w:line="300" w:lineRule="exact"/>
              <w:rPr>
                <w:rFonts w:eastAsia="仿宋"/>
                <w:color w:val="0D0D0D" w:themeColor="text1" w:themeTint="F2"/>
                <w:kern w:val="0"/>
                <w:szCs w:val="21"/>
                <w14:textFill>
                  <w14:solidFill>
                    <w14:schemeClr w14:val="tx1">
                      <w14:lumMod w14:val="95000"/>
                      <w14:lumOff w14:val="5000"/>
                    </w14:schemeClr>
                  </w14:solidFill>
                </w14:textFill>
              </w:rPr>
            </w:pPr>
          </w:p>
        </w:tc>
      </w:tr>
    </w:tbl>
    <w:p>
      <w:pPr>
        <w:adjustRightInd w:val="0"/>
        <w:snapToGrid w:val="0"/>
        <w:spacing w:before="156" w:beforeLines="50"/>
        <w:rPr>
          <w:rFonts w:eastAsia="仿宋"/>
          <w:color w:val="0D0D0D" w:themeColor="text1" w:themeTint="F2"/>
          <w14:textFill>
            <w14:solidFill>
              <w14:schemeClr w14:val="tx1">
                <w14:lumMod w14:val="95000"/>
                <w14:lumOff w14:val="5000"/>
              </w14:schemeClr>
            </w14:solidFill>
          </w14:textFill>
        </w:rPr>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4</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46ABF"/>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3BC7"/>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2000F8F"/>
    <w:rsid w:val="049623F8"/>
    <w:rsid w:val="05B95F1E"/>
    <w:rsid w:val="086E1568"/>
    <w:rsid w:val="09630209"/>
    <w:rsid w:val="0AFD7549"/>
    <w:rsid w:val="0CEF3A66"/>
    <w:rsid w:val="0CF2711F"/>
    <w:rsid w:val="0D9C70D9"/>
    <w:rsid w:val="0DE7465B"/>
    <w:rsid w:val="0E5D31AA"/>
    <w:rsid w:val="0F3F7BC8"/>
    <w:rsid w:val="10185A7B"/>
    <w:rsid w:val="10B15434"/>
    <w:rsid w:val="12C50C1A"/>
    <w:rsid w:val="148B4E1D"/>
    <w:rsid w:val="15774764"/>
    <w:rsid w:val="17F301A9"/>
    <w:rsid w:val="199A0A0E"/>
    <w:rsid w:val="19EF1374"/>
    <w:rsid w:val="1A95003E"/>
    <w:rsid w:val="1B813CE0"/>
    <w:rsid w:val="1B9D4516"/>
    <w:rsid w:val="200643E5"/>
    <w:rsid w:val="219E2716"/>
    <w:rsid w:val="22624C8B"/>
    <w:rsid w:val="28A02A1B"/>
    <w:rsid w:val="2F7A734E"/>
    <w:rsid w:val="33CE6340"/>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9F7CD0"/>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B5A63A7"/>
    <w:rsid w:val="6B6507A9"/>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Char"/>
    <w:link w:val="2"/>
    <w:qFormat/>
    <w:locked/>
    <w:uiPriority w:val="0"/>
    <w:rPr>
      <w:rFonts w:cs="Times New Roman"/>
      <w:b/>
      <w:bCs/>
      <w:kern w:val="44"/>
      <w:sz w:val="44"/>
      <w:szCs w:val="44"/>
    </w:rPr>
  </w:style>
  <w:style w:type="character" w:customStyle="1" w:styleId="38">
    <w:name w:val="正文文本缩进 Char"/>
    <w:link w:val="8"/>
    <w:qFormat/>
    <w:locked/>
    <w:uiPriority w:val="0"/>
    <w:rPr>
      <w:rFonts w:ascii="仿宋_GB2312" w:eastAsia="仿宋_GB2312" w:cs="Times New Roman"/>
      <w:kern w:val="2"/>
      <w:sz w:val="32"/>
    </w:rPr>
  </w:style>
  <w:style w:type="character" w:customStyle="1" w:styleId="39">
    <w:name w:val="标题 2 Char"/>
    <w:link w:val="3"/>
    <w:qFormat/>
    <w:locked/>
    <w:uiPriority w:val="0"/>
    <w:rPr>
      <w:rFonts w:ascii="宋体" w:eastAsia="宋体" w:cs="Times New Roman"/>
      <w:b/>
      <w:bCs/>
      <w:sz w:val="36"/>
      <w:szCs w:val="36"/>
    </w:rPr>
  </w:style>
  <w:style w:type="character" w:customStyle="1" w:styleId="40">
    <w:name w:val="正文文本缩进 3 Char"/>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Char"/>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Char"/>
    <w:link w:val="9"/>
    <w:qFormat/>
    <w:locked/>
    <w:uiPriority w:val="0"/>
    <w:rPr>
      <w:rFonts w:ascii="宋体" w:hAnsi="Courier New" w:cs="Times New Roman"/>
      <w:kern w:val="2"/>
      <w:sz w:val="21"/>
    </w:rPr>
  </w:style>
  <w:style w:type="character" w:customStyle="1" w:styleId="45">
    <w:name w:val="批注文字 Char"/>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Char"/>
    <w:link w:val="14"/>
    <w:qFormat/>
    <w:locked/>
    <w:uiPriority w:val="0"/>
    <w:rPr>
      <w:rFonts w:cs="Times New Roman"/>
      <w:sz w:val="18"/>
      <w:szCs w:val="18"/>
    </w:rPr>
  </w:style>
  <w:style w:type="character" w:customStyle="1" w:styleId="48">
    <w:name w:val="日期 Char"/>
    <w:link w:val="10"/>
    <w:qFormat/>
    <w:locked/>
    <w:uiPriority w:val="0"/>
    <w:rPr>
      <w:rFonts w:cs="Times New Roman"/>
      <w:sz w:val="24"/>
      <w:szCs w:val="24"/>
    </w:rPr>
  </w:style>
  <w:style w:type="character" w:customStyle="1" w:styleId="49">
    <w:name w:val="正文文本 Char"/>
    <w:link w:val="7"/>
    <w:qFormat/>
    <w:locked/>
    <w:uiPriority w:val="0"/>
    <w:rPr>
      <w:rFonts w:eastAsia="仿宋_GB2312" w:cs="Times New Roman"/>
      <w:kern w:val="2"/>
      <w:sz w:val="28"/>
    </w:rPr>
  </w:style>
  <w:style w:type="character" w:customStyle="1" w:styleId="50">
    <w:name w:val="页脚 Char"/>
    <w:link w:val="13"/>
    <w:qFormat/>
    <w:locked/>
    <w:uiPriority w:val="99"/>
    <w:rPr>
      <w:rFonts w:cs="Times New Roman"/>
      <w:sz w:val="18"/>
      <w:szCs w:val="18"/>
    </w:rPr>
  </w:style>
  <w:style w:type="character" w:customStyle="1" w:styleId="51">
    <w:name w:val="文档结构图 Char"/>
    <w:link w:val="5"/>
    <w:qFormat/>
    <w:locked/>
    <w:uiPriority w:val="0"/>
    <w:rPr>
      <w:rFonts w:ascii="宋体" w:cs="Times New Roman"/>
      <w:sz w:val="18"/>
      <w:szCs w:val="18"/>
    </w:rPr>
  </w:style>
  <w:style w:type="character" w:customStyle="1" w:styleId="52">
    <w:name w:val="批注主题 Char"/>
    <w:link w:val="17"/>
    <w:semiHidden/>
    <w:qFormat/>
    <w:locked/>
    <w:uiPriority w:val="0"/>
    <w:rPr>
      <w:rFonts w:ascii="Calibri" w:hAnsi="Calibri" w:cs="Calibri"/>
      <w:b/>
      <w:bCs/>
      <w:kern w:val="2"/>
      <w:sz w:val="21"/>
      <w:szCs w:val="21"/>
    </w:rPr>
  </w:style>
  <w:style w:type="character" w:customStyle="1" w:styleId="53">
    <w:name w:val="批注框文本 Char"/>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25C10-C9A5-4B7A-AE8E-60A07AE0C0D0}">
  <ds:schemaRefs/>
</ds:datastoreItem>
</file>

<file path=docProps/app.xml><?xml version="1.0" encoding="utf-8"?>
<Properties xmlns="http://schemas.openxmlformats.org/officeDocument/2006/extended-properties" xmlns:vt="http://schemas.openxmlformats.org/officeDocument/2006/docPropsVTypes">
  <Template>Normal.dotm</Template>
  <Company>sdu</Company>
  <Pages>22</Pages>
  <Words>2807</Words>
  <Characters>16005</Characters>
  <Lines>133</Lines>
  <Paragraphs>37</Paragraphs>
  <TotalTime>25</TotalTime>
  <ScaleCrop>false</ScaleCrop>
  <LinksUpToDate>false</LinksUpToDate>
  <CharactersWithSpaces>18775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2022-03-10T03:03:00Z</dcterms:created>
  <dc:creator>LIU</dc:creator>
  <cp:lastModifiedBy>粥qq</cp:lastModifiedBy>
  <cp:lastPrinted>2022-03-02T01:18:00Z</cp:lastPrinted>
  <dcterms:modified xsi:type="dcterms:W3CDTF">2022-03-15T06:53:13Z</dcterms:modified>
  <dc: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41DE15025CD54F7A8C5C88CD226B1500</vt:lpwstr>
  </property>
</Properties>
</file>